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EA0F0">
      <w:pPr>
        <w:keepNext w:val="0"/>
        <w:keepLines w:val="0"/>
        <w:pageBreakBefore w:val="0"/>
        <w:kinsoku/>
        <w:wordWrap/>
        <w:overflowPunct/>
        <w:topLinePunct w:val="0"/>
        <w:bidi w:val="0"/>
        <w:adjustRightInd/>
        <w:snapToGrid/>
        <w:spacing w:line="594" w:lineRule="exact"/>
        <w:jc w:val="center"/>
        <w:textAlignment w:val="auto"/>
        <w:rPr>
          <w:rFonts w:hint="eastAsia" w:ascii="方正小标宋简体" w:hAnsi="Calibri" w:eastAsia="方正小标宋简体" w:cs="Times New Roman"/>
          <w:sz w:val="44"/>
          <w:szCs w:val="32"/>
          <w14:ligatures w14:val="none"/>
        </w:rPr>
      </w:pPr>
      <w:r>
        <w:rPr>
          <w:rFonts w:ascii="方正小标宋简体" w:hAnsi="Calibri" w:eastAsia="方正小标宋简体" w:cs="Times New Roman"/>
          <w:sz w:val="44"/>
          <w:szCs w:val="32"/>
          <w14:ligatures w14:val="none"/>
        </w:rPr>
        <w:t>《</w:t>
      </w:r>
      <w:r>
        <w:rPr>
          <w:rFonts w:hint="eastAsia" w:ascii="方正小标宋简体" w:hAnsi="Calibri" w:eastAsia="方正小标宋简体" w:cs="Times New Roman"/>
          <w:sz w:val="44"/>
          <w:szCs w:val="32"/>
          <w:lang w:val="en-US" w:eastAsia="zh-CN"/>
          <w14:ligatures w14:val="none"/>
        </w:rPr>
        <w:t>晨星工厂建设指南</w:t>
      </w:r>
      <w:r>
        <w:rPr>
          <w:rFonts w:hint="eastAsia" w:ascii="方正小标宋简体" w:hAnsi="Calibri" w:eastAsia="方正小标宋简体" w:cs="Times New Roman"/>
          <w:sz w:val="44"/>
          <w:szCs w:val="32"/>
          <w14:ligatures w14:val="none"/>
        </w:rPr>
        <w:t>》</w:t>
      </w:r>
    </w:p>
    <w:p w14:paraId="7D21D8D8">
      <w:pPr>
        <w:keepNext w:val="0"/>
        <w:keepLines w:val="0"/>
        <w:pageBreakBefore w:val="0"/>
        <w:kinsoku/>
        <w:wordWrap/>
        <w:overflowPunct/>
        <w:topLinePunct w:val="0"/>
        <w:bidi w:val="0"/>
        <w:adjustRightInd/>
        <w:snapToGrid/>
        <w:spacing w:line="594" w:lineRule="exact"/>
        <w:jc w:val="center"/>
        <w:textAlignment w:val="auto"/>
        <w:rPr>
          <w:rFonts w:ascii="方正小标宋简体" w:hAnsi="Calibri" w:eastAsia="方正小标宋简体" w:cs="Times New Roman"/>
          <w:sz w:val="44"/>
          <w:szCs w:val="32"/>
          <w14:ligatures w14:val="none"/>
        </w:rPr>
      </w:pPr>
      <w:r>
        <w:rPr>
          <w:rFonts w:hint="eastAsia" w:ascii="方正小标宋简体" w:hAnsi="Calibri" w:eastAsia="方正小标宋简体" w:cs="Times New Roman"/>
          <w:sz w:val="44"/>
          <w:szCs w:val="32"/>
          <w14:ligatures w14:val="none"/>
        </w:rPr>
        <w:t>（</w:t>
      </w:r>
      <w:r>
        <w:rPr>
          <w:rFonts w:hint="eastAsia" w:ascii="方正小标宋简体" w:hAnsi="Calibri" w:eastAsia="方正小标宋简体" w:cs="Times New Roman"/>
          <w:sz w:val="44"/>
          <w:szCs w:val="32"/>
          <w:lang w:val="en-US" w:eastAsia="zh-CN"/>
          <w14:ligatures w14:val="none"/>
        </w:rPr>
        <w:t>征求意见</w:t>
      </w:r>
      <w:r>
        <w:rPr>
          <w:rFonts w:hint="eastAsia" w:ascii="方正小标宋简体" w:hAnsi="Calibri" w:eastAsia="方正小标宋简体" w:cs="Times New Roman"/>
          <w:sz w:val="44"/>
          <w:szCs w:val="32"/>
          <w14:ligatures w14:val="none"/>
        </w:rPr>
        <w:t>稿）</w:t>
      </w:r>
    </w:p>
    <w:p w14:paraId="594FDE54">
      <w:pPr>
        <w:keepNext w:val="0"/>
        <w:keepLines w:val="0"/>
        <w:pageBreakBefore w:val="0"/>
        <w:kinsoku/>
        <w:wordWrap/>
        <w:overflowPunct/>
        <w:topLinePunct w:val="0"/>
        <w:bidi w:val="0"/>
        <w:adjustRightInd/>
        <w:snapToGrid/>
        <w:spacing w:line="594" w:lineRule="exact"/>
        <w:jc w:val="center"/>
        <w:textAlignment w:val="auto"/>
        <w:rPr>
          <w:rFonts w:ascii="方正小标宋简体" w:hAnsi="Calibri" w:eastAsia="方正小标宋简体" w:cs="Times New Roman"/>
          <w:sz w:val="44"/>
          <w:szCs w:val="32"/>
          <w14:ligatures w14:val="none"/>
        </w:rPr>
      </w:pPr>
      <w:r>
        <w:rPr>
          <w:rFonts w:hint="eastAsia" w:ascii="方正小标宋简体" w:hAnsi="Calibri" w:eastAsia="方正小标宋简体" w:cs="Times New Roman"/>
          <w:sz w:val="44"/>
          <w:szCs w:val="32"/>
          <w14:ligatures w14:val="none"/>
        </w:rPr>
        <w:t>地方</w:t>
      </w:r>
      <w:r>
        <w:rPr>
          <w:rFonts w:ascii="方正小标宋简体" w:hAnsi="Calibri" w:eastAsia="方正小标宋简体" w:cs="Times New Roman"/>
          <w:sz w:val="44"/>
          <w:szCs w:val="32"/>
          <w14:ligatures w14:val="none"/>
        </w:rPr>
        <w:t>标准编制说明</w:t>
      </w:r>
    </w:p>
    <w:p w14:paraId="639F5A55">
      <w:pPr>
        <w:keepNext w:val="0"/>
        <w:keepLines w:val="0"/>
        <w:pageBreakBefore w:val="0"/>
        <w:kinsoku/>
        <w:wordWrap/>
        <w:overflowPunct/>
        <w:topLinePunct w:val="0"/>
        <w:bidi w:val="0"/>
        <w:adjustRightInd/>
        <w:snapToGrid/>
        <w:spacing w:line="594" w:lineRule="exact"/>
        <w:jc w:val="center"/>
        <w:textAlignment w:val="auto"/>
        <w:rPr>
          <w:rFonts w:ascii="方正小标宋简体" w:hAnsi="Times New Roman" w:eastAsia="方正小标宋简体" w:cs="Times New Roman"/>
          <w:sz w:val="44"/>
          <w:szCs w:val="32"/>
          <w14:ligatures w14:val="none"/>
        </w:rPr>
      </w:pPr>
    </w:p>
    <w:p w14:paraId="300A8332">
      <w:pPr>
        <w:keepNext w:val="0"/>
        <w:keepLines w:val="0"/>
        <w:pageBreakBefore w:val="0"/>
        <w:kinsoku/>
        <w:wordWrap/>
        <w:overflowPunct/>
        <w:topLinePunct w:val="0"/>
        <w:bidi w:val="0"/>
        <w:adjustRightInd/>
        <w:snapToGrid/>
        <w:spacing w:line="594" w:lineRule="exact"/>
        <w:ind w:firstLine="632" w:firstLineChars="200"/>
        <w:textAlignment w:val="auto"/>
        <w:rPr>
          <w:rFonts w:ascii="黑体" w:hAnsi="黑体" w:eastAsia="黑体" w:cs="宋体"/>
          <w:color w:val="000000"/>
          <w:kern w:val="0"/>
          <w:sz w:val="32"/>
          <w:szCs w:val="32"/>
          <w14:ligatures w14:val="none"/>
        </w:rPr>
      </w:pPr>
      <w:r>
        <w:rPr>
          <w:rFonts w:hint="eastAsia" w:ascii="黑体" w:hAnsi="黑体" w:eastAsia="黑体" w:cs="宋体"/>
          <w:color w:val="000000"/>
          <w:kern w:val="0"/>
          <w:sz w:val="32"/>
          <w:szCs w:val="32"/>
          <w14:ligatures w14:val="none"/>
        </w:rPr>
        <w:t>一、工作简况</w:t>
      </w:r>
    </w:p>
    <w:p w14:paraId="0D174697">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（一）任务来源</w:t>
      </w:r>
    </w:p>
    <w:p w14:paraId="0FDF4204">
      <w:pPr>
        <w:keepNext w:val="0"/>
        <w:keepLines w:val="0"/>
        <w:pageBreakBefore w:val="0"/>
        <w:kinsoku/>
        <w:wordWrap/>
        <w:overflowPunct/>
        <w:topLinePunct w:val="0"/>
        <w:bidi w:val="0"/>
        <w:spacing w:line="594" w:lineRule="exact"/>
        <w:ind w:firstLine="632" w:firstLineChars="200"/>
        <w:jc w:val="both"/>
        <w:textAlignment w:val="auto"/>
        <w:rPr>
          <w:rFonts w:hint="eastAsia" w:ascii="仿宋_GB2312" w:hAnsi="仿宋" w:eastAsia="仿宋_GB2312" w:cs="Times New Roman"/>
          <w:szCs w:val="32"/>
        </w:rPr>
      </w:pPr>
      <w:r>
        <w:rPr>
          <w:rFonts w:hint="eastAsia" w:ascii="仿宋_GB2312" w:hAnsi="仿宋" w:eastAsia="仿宋_GB2312" w:cs="仿宋_GB2312"/>
          <w:sz w:val="32"/>
          <w:szCs w:val="32"/>
          <w14:ligatures w14:val="none"/>
        </w:rPr>
        <w:t>根据山东省市场监督管理局202</w:t>
      </w:r>
      <w:r>
        <w:rPr>
          <w:rFonts w:hint="eastAsia" w:ascii="仿宋_GB2312" w:hAnsi="仿宋" w:eastAsia="仿宋_GB2312" w:cs="仿宋_GB2312"/>
          <w:sz w:val="32"/>
          <w:szCs w:val="32"/>
          <w:lang w:val="en-US" w:eastAsia="zh-CN"/>
          <w14:ligatures w14:val="none"/>
        </w:rPr>
        <w:t>5</w:t>
      </w:r>
      <w:r>
        <w:rPr>
          <w:rFonts w:hint="eastAsia" w:ascii="仿宋_GB2312" w:hAnsi="仿宋" w:eastAsia="仿宋_GB2312" w:cs="仿宋_GB2312"/>
          <w:sz w:val="32"/>
          <w:szCs w:val="32"/>
          <w14:ligatures w14:val="none"/>
        </w:rPr>
        <w:t>年</w:t>
      </w:r>
      <w:r>
        <w:rPr>
          <w:rFonts w:hint="eastAsia" w:ascii="仿宋_GB2312" w:hAnsi="仿宋" w:eastAsia="仿宋_GB2312" w:cs="仿宋_GB2312"/>
          <w:sz w:val="32"/>
          <w:szCs w:val="32"/>
          <w:lang w:val="en-US" w:eastAsia="zh-CN"/>
          <w14:ligatures w14:val="none"/>
        </w:rPr>
        <w:t>8</w:t>
      </w:r>
      <w:r>
        <w:rPr>
          <w:rFonts w:hint="eastAsia" w:ascii="仿宋_GB2312" w:hAnsi="仿宋" w:eastAsia="仿宋_GB2312" w:cs="仿宋_GB2312"/>
          <w:sz w:val="32"/>
          <w:szCs w:val="32"/>
          <w14:ligatures w14:val="none"/>
        </w:rPr>
        <w:t>月下达《山东省市场监督管理局关于下达2025年第二批地方标准计划和“揭榜挂帅”项目计划的通知》</w:t>
      </w:r>
      <w:r>
        <w:rPr>
          <w:rFonts w:hint="eastAsia" w:ascii="仿宋_GB2312" w:hAnsi="仿宋" w:eastAsia="仿宋_GB2312" w:cs="仿宋_GB2312"/>
          <w:sz w:val="32"/>
          <w:szCs w:val="32"/>
          <w:lang w:eastAsia="zh-CN"/>
          <w14:ligatures w14:val="none"/>
        </w:rPr>
        <w:t>（鲁市监标函〔2025〕169</w:t>
      </w:r>
      <w:r>
        <w:rPr>
          <w:rFonts w:hint="eastAsia" w:ascii="仿宋_GB2312" w:hAnsi="仿宋" w:eastAsia="仿宋_GB2312" w:cs="仿宋_GB2312"/>
          <w:sz w:val="32"/>
          <w:szCs w:val="32"/>
          <w:lang w:val="en-US" w:eastAsia="zh-CN"/>
          <w14:ligatures w14:val="none"/>
        </w:rPr>
        <w:t>号</w:t>
      </w:r>
      <w:r>
        <w:rPr>
          <w:rFonts w:hint="eastAsia" w:ascii="仿宋_GB2312" w:hAnsi="仿宋" w:eastAsia="仿宋_GB2312" w:cs="仿宋_GB2312"/>
          <w:sz w:val="32"/>
          <w:szCs w:val="32"/>
          <w:lang w:eastAsia="zh-CN"/>
          <w14:ligatures w14:val="none"/>
        </w:rPr>
        <w:t>）</w:t>
      </w:r>
      <w:r>
        <w:rPr>
          <w:rFonts w:hint="eastAsia" w:ascii="仿宋_GB2312" w:hAnsi="仿宋" w:eastAsia="仿宋_GB2312" w:cs="仿宋_GB2312"/>
          <w:sz w:val="32"/>
          <w:szCs w:val="32"/>
          <w14:ligatures w14:val="none"/>
        </w:rPr>
        <w:t>要求，《</w:t>
      </w:r>
      <w:r>
        <w:rPr>
          <w:rFonts w:hint="eastAsia" w:ascii="仿宋_GB2312" w:hAnsi="仿宋" w:eastAsia="仿宋_GB2312" w:cs="仿宋_GB2312"/>
          <w:sz w:val="32"/>
          <w:szCs w:val="32"/>
          <w:lang w:val="en-US" w:eastAsia="zh-CN"/>
          <w14:ligatures w14:val="none"/>
        </w:rPr>
        <w:t>晨星工厂数智化应用指南</w:t>
      </w:r>
      <w:r>
        <w:rPr>
          <w:rFonts w:hint="eastAsia" w:ascii="仿宋_GB2312" w:hAnsi="仿宋" w:eastAsia="仿宋_GB2312" w:cs="仿宋_GB2312"/>
          <w:sz w:val="32"/>
          <w:szCs w:val="32"/>
          <w14:ligatures w14:val="none"/>
        </w:rPr>
        <w:t>》</w:t>
      </w:r>
      <w:r>
        <w:rPr>
          <w:rFonts w:hint="eastAsia" w:ascii="仿宋_GB2312" w:hAnsi="仿宋" w:eastAsia="仿宋_GB2312" w:cs="Times New Roman"/>
          <w:sz w:val="32"/>
          <w:szCs w:val="32"/>
          <w14:ligatures w14:val="none"/>
        </w:rPr>
        <w:t>地方标准获批立项，</w:t>
      </w:r>
      <w:r>
        <w:rPr>
          <w:rFonts w:hint="eastAsia" w:ascii="仿宋_GB2312" w:hAnsi="仿宋" w:eastAsia="仿宋_GB2312" w:cs="仿宋_GB2312"/>
          <w:sz w:val="32"/>
          <w:szCs w:val="32"/>
          <w14:ligatures w14:val="none"/>
        </w:rPr>
        <w:t>计划编号：202</w:t>
      </w:r>
      <w:r>
        <w:rPr>
          <w:rFonts w:hint="eastAsia" w:ascii="仿宋_GB2312" w:hAnsi="仿宋" w:eastAsia="仿宋_GB2312" w:cs="仿宋_GB2312"/>
          <w:sz w:val="32"/>
          <w:szCs w:val="32"/>
          <w:lang w:val="en-US" w:eastAsia="zh-CN"/>
          <w14:ligatures w14:val="none"/>
        </w:rPr>
        <w:t>5</w:t>
      </w:r>
      <w:r>
        <w:rPr>
          <w:rFonts w:hint="eastAsia" w:ascii="仿宋_GB2312" w:hAnsi="仿宋" w:eastAsia="仿宋_GB2312" w:cs="仿宋_GB2312"/>
          <w:sz w:val="32"/>
          <w:szCs w:val="32"/>
          <w14:ligatures w14:val="none"/>
        </w:rPr>
        <w:t>-T-</w:t>
      </w:r>
      <w:r>
        <w:rPr>
          <w:rFonts w:hint="eastAsia" w:ascii="仿宋_GB2312" w:hAnsi="仿宋" w:eastAsia="仿宋_GB2312" w:cs="仿宋_GB2312"/>
          <w:sz w:val="32"/>
          <w:szCs w:val="32"/>
          <w:lang w:val="en-US" w:eastAsia="zh-CN"/>
          <w14:ligatures w14:val="none"/>
        </w:rPr>
        <w:t>58</w:t>
      </w:r>
      <w:r>
        <w:rPr>
          <w:rFonts w:hint="eastAsia" w:ascii="仿宋_GB2312" w:hAnsi="仿宋" w:eastAsia="仿宋_GB2312" w:cs="Times New Roman"/>
          <w:sz w:val="32"/>
          <w:szCs w:val="32"/>
          <w14:ligatures w14:val="none"/>
        </w:rPr>
        <w:t>。</w:t>
      </w:r>
      <w:r>
        <w:rPr>
          <w:rFonts w:hint="eastAsia" w:ascii="仿宋_GB2312" w:hAnsi="仿宋" w:eastAsia="仿宋_GB2312" w:cs="仿宋_GB2312"/>
          <w:sz w:val="32"/>
          <w:szCs w:val="32"/>
          <w14:ligatures w14:val="none"/>
        </w:rPr>
        <w:t>本标准由</w:t>
      </w:r>
      <w:r>
        <w:rPr>
          <w:rFonts w:hint="eastAsia" w:ascii="仿宋_GB2312" w:hAnsi="仿宋" w:eastAsia="仿宋_GB2312" w:cs="仿宋_GB2312"/>
          <w:sz w:val="32"/>
          <w:szCs w:val="32"/>
          <w:lang w:val="en-US" w:eastAsia="zh-CN"/>
          <w14:ligatures w14:val="none"/>
        </w:rPr>
        <w:t>山东省工业和信息化厅</w:t>
      </w:r>
      <w:r>
        <w:rPr>
          <w:rFonts w:hint="eastAsia" w:ascii="仿宋_GB2312" w:hAnsi="仿宋" w:eastAsia="仿宋_GB2312" w:cs="仿宋_GB2312"/>
          <w:sz w:val="32"/>
          <w:szCs w:val="32"/>
          <w14:ligatures w14:val="none"/>
        </w:rPr>
        <w:t>提出</w:t>
      </w:r>
      <w:r>
        <w:rPr>
          <w:rFonts w:hint="eastAsia" w:ascii="仿宋_GB2312" w:hAnsi="仿宋" w:eastAsia="仿宋_GB2312" w:cs="仿宋_GB2312"/>
          <w:sz w:val="32"/>
          <w:szCs w:val="32"/>
          <w:lang w:val="en-US" w:eastAsia="zh-CN"/>
          <w14:ligatures w14:val="none"/>
        </w:rPr>
        <w:t>并</w:t>
      </w:r>
      <w:r>
        <w:rPr>
          <w:rFonts w:hint="eastAsia" w:ascii="仿宋_GB2312" w:hAnsi="仿宋" w:eastAsia="仿宋_GB2312" w:cs="仿宋_GB2312"/>
          <w:sz w:val="32"/>
          <w:szCs w:val="32"/>
          <w14:ligatures w14:val="none"/>
        </w:rPr>
        <w:t>归口。</w:t>
      </w:r>
    </w:p>
    <w:p w14:paraId="13A4F8FD">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（二）起草单位、起草人及任务分工</w:t>
      </w:r>
    </w:p>
    <w:p w14:paraId="6FF257D9">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1.起草单位</w:t>
      </w:r>
    </w:p>
    <w:p w14:paraId="7C691E63">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lang w:eastAsia="zh-CN"/>
          <w14:ligatures w14:val="none"/>
        </w:rPr>
      </w:pPr>
      <w:bookmarkStart w:id="0" w:name="_Hlk149045766"/>
      <w:r>
        <w:rPr>
          <w:rFonts w:hint="eastAsia" w:ascii="仿宋_GB2312" w:hAnsi="仿宋" w:eastAsia="仿宋_GB2312" w:cs="Times New Roman"/>
          <w:sz w:val="32"/>
          <w:szCs w:val="32"/>
          <w:lang w:val="en-US" w:eastAsia="zh-CN"/>
          <w14:ligatures w14:val="none"/>
        </w:rPr>
        <w:t>暂略</w:t>
      </w:r>
      <w:r>
        <w:rPr>
          <w:rFonts w:hint="eastAsia" w:ascii="仿宋_GB2312" w:hAnsi="仿宋" w:eastAsia="仿宋_GB2312" w:cs="Times New Roman"/>
          <w:sz w:val="32"/>
          <w:szCs w:val="32"/>
          <w:lang w:eastAsia="zh-CN"/>
          <w14:ligatures w14:val="none"/>
        </w:rPr>
        <w:t>。</w:t>
      </w:r>
    </w:p>
    <w:bookmarkEnd w:id="0"/>
    <w:p w14:paraId="6AEA9C8E">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2.起草人及任务分工</w:t>
      </w:r>
    </w:p>
    <w:p w14:paraId="41A081A9">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lang w:val="en-US" w:eastAsia="zh-CN"/>
          <w14:ligatures w14:val="none"/>
        </w:rPr>
        <w:t>暂略</w:t>
      </w:r>
      <w:r>
        <w:rPr>
          <w:rFonts w:hint="eastAsia" w:ascii="仿宋_GB2312" w:hAnsi="仿宋" w:eastAsia="仿宋_GB2312" w:cs="Times New Roman"/>
          <w:sz w:val="32"/>
          <w:szCs w:val="32"/>
          <w14:ligatures w14:val="none"/>
        </w:rPr>
        <w:t>。</w:t>
      </w:r>
    </w:p>
    <w:p w14:paraId="3675F103">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（三）起草过程</w:t>
      </w:r>
    </w:p>
    <w:p w14:paraId="0FC76C46">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1.标准启动（202</w:t>
      </w:r>
      <w:r>
        <w:rPr>
          <w:rFonts w:hint="eastAsia" w:ascii="仿宋_GB2312" w:hAnsi="仿宋" w:eastAsia="仿宋_GB2312" w:cs="Times New Roman"/>
          <w:sz w:val="32"/>
          <w:szCs w:val="32"/>
          <w:lang w:val="en-US" w:eastAsia="zh-CN"/>
          <w14:ligatures w14:val="none"/>
        </w:rPr>
        <w:t>5</w:t>
      </w:r>
      <w:r>
        <w:rPr>
          <w:rFonts w:hint="eastAsia" w:ascii="仿宋_GB2312" w:hAnsi="仿宋" w:eastAsia="仿宋_GB2312" w:cs="Times New Roman"/>
          <w:sz w:val="32"/>
          <w:szCs w:val="32"/>
          <w14:ligatures w14:val="none"/>
        </w:rPr>
        <w:t>年</w:t>
      </w:r>
      <w:r>
        <w:rPr>
          <w:rFonts w:hint="eastAsia" w:ascii="仿宋_GB2312" w:hAnsi="仿宋" w:eastAsia="仿宋_GB2312" w:cs="Times New Roman"/>
          <w:sz w:val="32"/>
          <w:szCs w:val="32"/>
          <w:lang w:val="en-US" w:eastAsia="zh-CN"/>
          <w14:ligatures w14:val="none"/>
        </w:rPr>
        <w:t>9</w:t>
      </w:r>
      <w:r>
        <w:rPr>
          <w:rFonts w:hint="eastAsia" w:ascii="仿宋_GB2312" w:hAnsi="仿宋" w:eastAsia="仿宋_GB2312" w:cs="Times New Roman"/>
          <w:sz w:val="32"/>
          <w:szCs w:val="32"/>
          <w14:ligatures w14:val="none"/>
        </w:rPr>
        <w:t>月）</w:t>
      </w:r>
    </w:p>
    <w:p w14:paraId="1784B96A">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项目立项批复后，第一时间成立了以山东新一代标准化研究院有限公司</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lang w:val="en-US" w:eastAsia="zh-CN"/>
          <w14:ligatures w14:val="none"/>
        </w:rPr>
        <w:t>潍柴动力股份有限公司</w:t>
      </w:r>
      <w:r>
        <w:rPr>
          <w:rFonts w:hint="eastAsia" w:ascii="仿宋_GB2312" w:hAnsi="仿宋" w:eastAsia="仿宋_GB2312" w:cs="Times New Roman"/>
          <w:sz w:val="32"/>
          <w:szCs w:val="32"/>
          <w14:ligatures w14:val="none"/>
        </w:rPr>
        <w:t>等单位的业务骨干为主要成员的</w:t>
      </w:r>
      <w:bookmarkStart w:id="1" w:name="_Hlk149111395"/>
      <w:r>
        <w:rPr>
          <w:rFonts w:hint="eastAsia" w:ascii="仿宋_GB2312" w:hAnsi="仿宋" w:eastAsia="仿宋_GB2312" w:cs="Times New Roman"/>
          <w:sz w:val="32"/>
          <w:szCs w:val="32"/>
          <w14:ligatures w14:val="none"/>
        </w:rPr>
        <w:t>标准制定小组</w:t>
      </w:r>
      <w:bookmarkEnd w:id="1"/>
      <w:r>
        <w:rPr>
          <w:rFonts w:hint="eastAsia" w:ascii="仿宋_GB2312" w:hAnsi="仿宋" w:eastAsia="仿宋_GB2312" w:cs="Times New Roman"/>
          <w:sz w:val="32"/>
          <w:szCs w:val="32"/>
          <w14:ligatures w14:val="none"/>
        </w:rPr>
        <w:t>。根据《山东省地方标准管理办法》等政策文件要求，标准制定小组首先确定总体思路、工作计划和任务分工，并及时明确技术路线、工作方法、进度安排等，有序启动标准研究及编制工作。</w:t>
      </w:r>
    </w:p>
    <w:p w14:paraId="5C410F36">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2.调查研究（202</w:t>
      </w:r>
      <w:r>
        <w:rPr>
          <w:rFonts w:hint="eastAsia" w:ascii="仿宋_GB2312" w:hAnsi="仿宋" w:eastAsia="仿宋_GB2312" w:cs="Times New Roman"/>
          <w:sz w:val="32"/>
          <w:szCs w:val="32"/>
          <w:lang w:val="en-US" w:eastAsia="zh-CN"/>
          <w14:ligatures w14:val="none"/>
        </w:rPr>
        <w:t>5</w:t>
      </w:r>
      <w:r>
        <w:rPr>
          <w:rFonts w:hint="eastAsia" w:ascii="仿宋_GB2312" w:hAnsi="仿宋" w:eastAsia="仿宋_GB2312" w:cs="Times New Roman"/>
          <w:sz w:val="32"/>
          <w:szCs w:val="32"/>
          <w14:ligatures w14:val="none"/>
        </w:rPr>
        <w:t>年</w:t>
      </w:r>
      <w:r>
        <w:rPr>
          <w:rFonts w:hint="eastAsia" w:ascii="仿宋_GB2312" w:hAnsi="仿宋" w:eastAsia="仿宋_GB2312" w:cs="Times New Roman"/>
          <w:sz w:val="32"/>
          <w:szCs w:val="32"/>
          <w:lang w:val="en-US" w:eastAsia="zh-CN"/>
          <w14:ligatures w14:val="none"/>
        </w:rPr>
        <w:t>10</w:t>
      </w:r>
      <w:r>
        <w:rPr>
          <w:rFonts w:hint="eastAsia" w:ascii="仿宋_GB2312" w:hAnsi="仿宋" w:eastAsia="仿宋_GB2312" w:cs="Times New Roman"/>
          <w:sz w:val="32"/>
          <w:szCs w:val="32"/>
          <w14:ligatures w14:val="none"/>
        </w:rPr>
        <w:t>月</w:t>
      </w:r>
      <w:r>
        <w:rPr>
          <w:rFonts w:hint="eastAsia" w:ascii="仿宋_GB2312" w:hAnsi="仿宋" w:eastAsia="仿宋_GB2312" w:cs="Times New Roman"/>
          <w:sz w:val="32"/>
          <w:szCs w:val="32"/>
          <w:lang w:val="en-US" w:eastAsia="zh-CN"/>
          <w14:ligatures w14:val="none"/>
        </w:rPr>
        <w:t>-12月</w:t>
      </w:r>
      <w:r>
        <w:rPr>
          <w:rFonts w:hint="eastAsia" w:ascii="仿宋_GB2312" w:hAnsi="仿宋" w:eastAsia="仿宋_GB2312" w:cs="Times New Roman"/>
          <w:sz w:val="32"/>
          <w:szCs w:val="32"/>
          <w14:ligatures w14:val="none"/>
        </w:rPr>
        <w:t>）</w:t>
      </w:r>
    </w:p>
    <w:p w14:paraId="5E6B12D2">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根据工作安排，标准制定小组开展深入的调查研究工作，全力推动标准制定工作。</w:t>
      </w:r>
      <w:r>
        <w:rPr>
          <w:rFonts w:hint="eastAsia" w:ascii="仿宋_GB2312" w:hAnsi="仿宋" w:eastAsia="仿宋_GB2312" w:cs="Times New Roman"/>
          <w:b/>
          <w:bCs/>
          <w:sz w:val="32"/>
          <w:szCs w:val="32"/>
          <w14:ligatures w14:val="none"/>
        </w:rPr>
        <w:t>一是</w:t>
      </w:r>
      <w:r>
        <w:rPr>
          <w:rFonts w:hint="eastAsia" w:ascii="仿宋_GB2312" w:hAnsi="仿宋" w:eastAsia="仿宋_GB2312" w:cs="Times New Roman"/>
          <w:sz w:val="32"/>
          <w:szCs w:val="32"/>
          <w14:ligatures w14:val="none"/>
        </w:rPr>
        <w:t>开展资料文献调研，强化法规引领作用。广泛搜集整理</w:t>
      </w:r>
      <w:r>
        <w:rPr>
          <w:rFonts w:hint="eastAsia" w:ascii="仿宋_GB2312" w:hAnsi="仿宋" w:eastAsia="仿宋_GB2312" w:cs="Times New Roman"/>
          <w:sz w:val="32"/>
          <w:szCs w:val="32"/>
          <w:lang w:val="en-US" w:eastAsia="zh-CN"/>
          <w14:ligatures w14:val="none"/>
        </w:rPr>
        <w:t>晨星工厂</w:t>
      </w:r>
      <w:r>
        <w:rPr>
          <w:rFonts w:hint="eastAsia" w:ascii="仿宋_GB2312" w:hAnsi="仿宋" w:eastAsia="仿宋_GB2312" w:cs="Times New Roman"/>
          <w:sz w:val="32"/>
          <w:szCs w:val="32"/>
          <w14:ligatures w14:val="none"/>
        </w:rPr>
        <w:t>相关政策、文献资料，包括《山东省晨星工厂建设指引》</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《智能制造典型场景参考指引（2025年版</w:t>
      </w:r>
      <w:r>
        <w:rPr>
          <w:rFonts w:hint="eastAsia" w:ascii="仿宋_GB2312" w:hAnsi="仿宋" w:eastAsia="仿宋_GB2312" w:cs="Times New Roman"/>
          <w:sz w:val="32"/>
          <w:szCs w:val="32"/>
          <w:lang w:eastAsia="zh-CN"/>
          <w14:ligatures w14:val="none"/>
        </w:rPr>
        <w:t>）》、《场景化、图谱化推进重点行业数字化转型的参考指引（2025版）》</w:t>
      </w:r>
      <w:r>
        <w:rPr>
          <w:rFonts w:hint="eastAsia" w:ascii="仿宋_GB2312" w:hAnsi="仿宋" w:eastAsia="仿宋_GB2312" w:cs="Times New Roman"/>
          <w:sz w:val="32"/>
          <w:szCs w:val="32"/>
          <w14:ligatures w14:val="none"/>
        </w:rPr>
        <w:t>等政策文件。</w:t>
      </w:r>
      <w:r>
        <w:rPr>
          <w:rFonts w:hint="eastAsia" w:ascii="仿宋_GB2312" w:hAnsi="仿宋" w:eastAsia="仿宋_GB2312" w:cs="Times New Roman"/>
          <w:b/>
          <w:bCs/>
          <w:sz w:val="32"/>
          <w:szCs w:val="32"/>
          <w14:ligatures w14:val="none"/>
        </w:rPr>
        <w:t>二是</w:t>
      </w:r>
      <w:r>
        <w:rPr>
          <w:rFonts w:hint="eastAsia" w:ascii="仿宋_GB2312" w:hAnsi="仿宋" w:eastAsia="仿宋_GB2312" w:cs="Times New Roman"/>
          <w:sz w:val="32"/>
          <w:szCs w:val="32"/>
          <w14:ligatures w14:val="none"/>
        </w:rPr>
        <w:t>开展利益相关方需求调研，充分考虑多方需求，围绕</w:t>
      </w:r>
      <w:r>
        <w:rPr>
          <w:rFonts w:hint="eastAsia" w:ascii="仿宋_GB2312" w:hAnsi="仿宋" w:eastAsia="仿宋_GB2312" w:cs="Times New Roman"/>
          <w:sz w:val="32"/>
          <w:szCs w:val="32"/>
          <w:lang w:val="en-US" w:eastAsia="zh-CN"/>
          <w14:ligatures w14:val="none"/>
        </w:rPr>
        <w:t>晨星工厂建设、运行管理、应用等</w:t>
      </w:r>
      <w:r>
        <w:rPr>
          <w:rFonts w:hint="eastAsia" w:ascii="仿宋_GB2312" w:hAnsi="仿宋" w:eastAsia="仿宋_GB2312" w:cs="Times New Roman"/>
          <w:sz w:val="32"/>
          <w:szCs w:val="32"/>
          <w14:ligatures w14:val="none"/>
        </w:rPr>
        <w:t>方面，标准制定小组面向</w:t>
      </w:r>
      <w:r>
        <w:rPr>
          <w:rFonts w:hint="eastAsia" w:ascii="仿宋_GB2312" w:hAnsi="仿宋" w:eastAsia="仿宋_GB2312" w:cs="Times New Roman"/>
          <w:sz w:val="32"/>
          <w:szCs w:val="32"/>
          <w:lang w:val="en-US" w:eastAsia="zh-CN"/>
          <w14:ligatures w14:val="none"/>
        </w:rPr>
        <w:t>行业主管部门、晨星工厂承担单位</w:t>
      </w:r>
      <w:r>
        <w:rPr>
          <w:rFonts w:hint="eastAsia" w:ascii="仿宋_GB2312" w:hAnsi="仿宋" w:eastAsia="仿宋_GB2312" w:cs="Times New Roman"/>
          <w:sz w:val="32"/>
          <w:szCs w:val="32"/>
          <w14:ligatures w14:val="none"/>
        </w:rPr>
        <w:t>等标准利益相关方开展调研，</w:t>
      </w:r>
      <w:r>
        <w:rPr>
          <w:rFonts w:hint="eastAsia" w:ascii="仿宋_GB2312" w:hAnsi="仿宋" w:eastAsia="仿宋_GB2312" w:cs="Times New Roman"/>
          <w:sz w:val="32"/>
          <w:szCs w:val="32"/>
          <w:lang w:val="en-US" w:eastAsia="zh-CN"/>
          <w14:ligatures w14:val="none"/>
        </w:rPr>
        <w:t>包括邀请晨星工厂承担单位</w:t>
      </w:r>
      <w:r>
        <w:rPr>
          <w:rFonts w:hint="eastAsia" w:ascii="仿宋_GB2312" w:hAnsi="仿宋" w:eastAsia="仿宋_GB2312" w:cs="Times New Roman"/>
          <w:sz w:val="32"/>
          <w:szCs w:val="32"/>
          <w14:ligatures w14:val="none"/>
        </w:rPr>
        <w:t>就</w:t>
      </w:r>
      <w:r>
        <w:rPr>
          <w:rFonts w:hint="eastAsia" w:ascii="仿宋_GB2312" w:hAnsi="仿宋" w:eastAsia="仿宋_GB2312" w:cs="Times New Roman"/>
          <w:sz w:val="32"/>
          <w:szCs w:val="32"/>
          <w:lang w:val="en-US" w:eastAsia="zh-CN"/>
          <w14:ligatures w14:val="none"/>
        </w:rPr>
        <w:t>应用内容、要求等进行讲解</w:t>
      </w:r>
      <w:r>
        <w:rPr>
          <w:rFonts w:hint="eastAsia" w:ascii="仿宋_GB2312" w:hAnsi="仿宋" w:eastAsia="仿宋_GB2312" w:cs="Times New Roman"/>
          <w:sz w:val="32"/>
          <w:szCs w:val="32"/>
          <w14:ligatures w14:val="none"/>
        </w:rPr>
        <w:t>，共同分析</w:t>
      </w:r>
      <w:r>
        <w:rPr>
          <w:rFonts w:hint="eastAsia" w:ascii="仿宋_GB2312" w:hAnsi="仿宋" w:eastAsia="仿宋_GB2312" w:cs="Times New Roman"/>
          <w:sz w:val="32"/>
          <w:szCs w:val="32"/>
          <w:lang w:val="en-US" w:eastAsia="zh-CN"/>
          <w14:ligatures w14:val="none"/>
        </w:rPr>
        <w:t>晨星工厂应用</w:t>
      </w:r>
      <w:r>
        <w:rPr>
          <w:rFonts w:hint="eastAsia" w:ascii="仿宋_GB2312" w:hAnsi="仿宋" w:eastAsia="仿宋_GB2312" w:cs="Times New Roman"/>
          <w:sz w:val="32"/>
          <w:szCs w:val="32"/>
          <w14:ligatures w14:val="none"/>
        </w:rPr>
        <w:t>存在的问题</w:t>
      </w:r>
      <w:r>
        <w:rPr>
          <w:rFonts w:hint="eastAsia" w:ascii="仿宋_GB2312" w:hAnsi="仿宋" w:eastAsia="仿宋_GB2312" w:cs="Times New Roman"/>
          <w:sz w:val="32"/>
          <w:szCs w:val="32"/>
          <w:lang w:val="en-US" w:eastAsia="zh-CN"/>
          <w14:ligatures w14:val="none"/>
        </w:rPr>
        <w:t>以及解决方法等</w:t>
      </w:r>
      <w:r>
        <w:rPr>
          <w:rFonts w:hint="eastAsia" w:ascii="仿宋_GB2312" w:hAnsi="仿宋" w:eastAsia="仿宋_GB2312" w:cs="Times New Roman"/>
          <w:sz w:val="32"/>
          <w:szCs w:val="32"/>
          <w14:ligatures w14:val="none"/>
        </w:rPr>
        <w:t>。</w:t>
      </w:r>
    </w:p>
    <w:p w14:paraId="3A6DB98F">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3.编制草案（202</w:t>
      </w:r>
      <w:r>
        <w:rPr>
          <w:rFonts w:hint="eastAsia" w:ascii="仿宋_GB2312" w:hAnsi="仿宋" w:eastAsia="仿宋_GB2312" w:cs="Times New Roman"/>
          <w:sz w:val="32"/>
          <w:szCs w:val="32"/>
          <w:lang w:val="en-US" w:eastAsia="zh-CN"/>
          <w14:ligatures w14:val="none"/>
        </w:rPr>
        <w:t>6</w:t>
      </w:r>
      <w:r>
        <w:rPr>
          <w:rFonts w:hint="eastAsia" w:ascii="仿宋_GB2312" w:hAnsi="仿宋" w:eastAsia="仿宋_GB2312" w:cs="Times New Roman"/>
          <w:sz w:val="32"/>
          <w:szCs w:val="32"/>
          <w14:ligatures w14:val="none"/>
        </w:rPr>
        <w:t>年</w:t>
      </w:r>
      <w:r>
        <w:rPr>
          <w:rFonts w:hint="eastAsia" w:ascii="仿宋_GB2312" w:hAnsi="仿宋" w:eastAsia="仿宋_GB2312" w:cs="Times New Roman"/>
          <w:sz w:val="32"/>
          <w:szCs w:val="32"/>
          <w:lang w:val="en-US" w:eastAsia="zh-CN"/>
          <w14:ligatures w14:val="none"/>
        </w:rPr>
        <w:t>1</w:t>
      </w:r>
      <w:r>
        <w:rPr>
          <w:rFonts w:hint="eastAsia" w:ascii="仿宋_GB2312" w:hAnsi="仿宋" w:eastAsia="仿宋_GB2312" w:cs="Times New Roman"/>
          <w:sz w:val="32"/>
          <w:szCs w:val="32"/>
          <w14:ligatures w14:val="none"/>
        </w:rPr>
        <w:t>月</w:t>
      </w:r>
      <w:r>
        <w:rPr>
          <w:rFonts w:hint="eastAsia" w:ascii="仿宋_GB2312" w:hAnsi="仿宋" w:eastAsia="仿宋_GB2312" w:cs="Times New Roman"/>
          <w:sz w:val="32"/>
          <w:szCs w:val="32"/>
          <w:lang w:val="en-US" w:eastAsia="zh-CN"/>
          <w14:ligatures w14:val="none"/>
        </w:rPr>
        <w:t>-5月</w:t>
      </w:r>
      <w:r>
        <w:rPr>
          <w:rFonts w:hint="eastAsia" w:ascii="仿宋_GB2312" w:hAnsi="仿宋" w:eastAsia="仿宋_GB2312" w:cs="Times New Roman"/>
          <w:sz w:val="32"/>
          <w:szCs w:val="32"/>
          <w14:ligatures w14:val="none"/>
        </w:rPr>
        <w:t>）</w:t>
      </w:r>
    </w:p>
    <w:p w14:paraId="7BA1A8ED">
      <w:pPr>
        <w:keepNext w:val="0"/>
        <w:keepLines w:val="0"/>
        <w:pageBreakBefore w:val="0"/>
        <w:kinsoku/>
        <w:wordWrap/>
        <w:overflowPunct/>
        <w:topLinePunct w:val="0"/>
        <w:bidi w:val="0"/>
        <w:adjustRightInd/>
        <w:snapToGrid/>
        <w:spacing w:line="594" w:lineRule="exact"/>
        <w:ind w:firstLine="632" w:firstLineChars="200"/>
        <w:jc w:val="both"/>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标准制定小组在前期查阅资料和调研的基础上，对调研情况进行汇总分析和深入研究讨论，</w:t>
      </w:r>
      <w:r>
        <w:rPr>
          <w:rFonts w:hint="eastAsia" w:ascii="仿宋_GB2312" w:hAnsi="仿宋" w:eastAsia="仿宋_GB2312" w:cs="Times New Roman"/>
          <w:sz w:val="32"/>
          <w:szCs w:val="32"/>
          <w:lang w:val="en-US" w:eastAsia="zh-CN"/>
          <w14:ligatures w14:val="none"/>
        </w:rPr>
        <w:t>参考DB37/T 4649.1—2023《智能制造　第1部分：智能工厂建设指南》、DB37/T 4649.2—2023《智能制造　第2部分：智能工厂评价体系指南》、DB37/T 4658.1—2023《人工智能 应用场景分类 第1部分：分类方法》、DB37/T 4658.2—2023《人工智能 应用场景分类 第2部分：装备制造》等</w:t>
      </w:r>
      <w:r>
        <w:rPr>
          <w:rFonts w:hint="eastAsia" w:ascii="仿宋_GB2312" w:hAnsi="仿宋" w:eastAsia="仿宋_GB2312" w:cs="Times New Roman"/>
          <w:sz w:val="32"/>
          <w:szCs w:val="32"/>
          <w14:ligatures w14:val="none"/>
        </w:rPr>
        <w:t>地方标准</w:t>
      </w:r>
      <w:r>
        <w:rPr>
          <w:rFonts w:hint="eastAsia" w:ascii="仿宋_GB2312" w:hAnsi="仿宋" w:eastAsia="仿宋_GB2312" w:cs="Times New Roman"/>
          <w:sz w:val="32"/>
          <w:szCs w:val="32"/>
          <w:lang w:val="en-US" w:eastAsia="zh-CN"/>
          <w14:ligatures w14:val="none"/>
        </w:rPr>
        <w:t>内容</w:t>
      </w:r>
      <w:r>
        <w:rPr>
          <w:rFonts w:hint="eastAsia" w:ascii="仿宋_GB2312" w:hAnsi="仿宋" w:eastAsia="仿宋_GB2312" w:cs="Times New Roman"/>
          <w:sz w:val="32"/>
          <w:szCs w:val="32"/>
          <w14:ligatures w14:val="none"/>
        </w:rPr>
        <w:t>，</w:t>
      </w:r>
      <w:r>
        <w:rPr>
          <w:rFonts w:hint="eastAsia" w:ascii="仿宋_GB2312" w:hAnsi="仿宋" w:eastAsia="仿宋_GB2312" w:cs="Times New Roman"/>
          <w:sz w:val="32"/>
          <w:szCs w:val="32"/>
          <w:lang w:val="en-US" w:eastAsia="zh-CN"/>
          <w14:ligatures w14:val="none"/>
        </w:rPr>
        <w:t>形成</w:t>
      </w:r>
      <w:r>
        <w:rPr>
          <w:rFonts w:hint="eastAsia" w:ascii="仿宋_GB2312" w:hAnsi="仿宋" w:eastAsia="仿宋_GB2312" w:cs="Times New Roman"/>
          <w:sz w:val="32"/>
          <w:szCs w:val="32"/>
          <w14:ligatures w14:val="none"/>
        </w:rPr>
        <w:t>标准的技术框架、主要技术内容、规范性要素和资料性要素等，并在反复推敲和修改后，不断完善标准草案。</w:t>
      </w:r>
    </w:p>
    <w:p w14:paraId="044A24E0">
      <w:pPr>
        <w:keepNext w:val="0"/>
        <w:keepLines w:val="0"/>
        <w:pageBreakBefore w:val="0"/>
        <w:kinsoku/>
        <w:wordWrap/>
        <w:overflowPunct/>
        <w:topLinePunct w:val="0"/>
        <w:bidi w:val="0"/>
        <w:adjustRightInd/>
        <w:snapToGrid/>
        <w:spacing w:line="594" w:lineRule="exact"/>
        <w:ind w:firstLine="632" w:firstLineChars="200"/>
        <w:textAlignment w:val="auto"/>
        <w:rPr>
          <w:rFonts w:ascii="黑体" w:hAnsi="黑体" w:eastAsia="黑体" w:cs="宋体"/>
          <w:color w:val="000000"/>
          <w:kern w:val="0"/>
          <w:sz w:val="32"/>
          <w:szCs w:val="32"/>
          <w14:ligatures w14:val="none"/>
        </w:rPr>
      </w:pPr>
      <w:r>
        <w:rPr>
          <w:rFonts w:hint="eastAsia" w:ascii="黑体" w:hAnsi="黑体" w:eastAsia="黑体" w:cs="宋体"/>
          <w:color w:val="000000"/>
          <w:kern w:val="0"/>
          <w:sz w:val="32"/>
          <w:szCs w:val="32"/>
          <w14:ligatures w14:val="none"/>
        </w:rPr>
        <w:t>二、地方标准制定的目的和意义</w:t>
      </w:r>
    </w:p>
    <w:p w14:paraId="5DEAC611">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为深入贯彻党的二十大关于加快发展数字经济、促进数字经济与实体经济深度融合的战略部署，全面落实山东省数字强省建设、制造业数字化转型、数据赋能工业发展等系列省级政策文件要求，聚力推进工业经济头号工程建设，规范全省“晨星工厂”建设与数智化应用工作。针对当前山东省晨星工厂建设过程中存在的建设标准模糊、企业标准化建设水平参差不齐、整体架构规划能力不足、数智化应用不规范等突出问题，填补省内晨星工厂数智化建设领域标准空白。通过制定《晨星工厂数智化应用指南》地方标准，统一晨星工厂数智化建设的总体架构、核心内容、应用规范与实施要求，为全省工业企业开展数据采集、传输、存算、管理及全场景数智化应用提供系统性指导，明确建设路径与实施标准，引导各类工业企业规范开展晨星工厂创建与升级工作，推动工业企业数智化转型提质增效，助力全省新质生产力培育和新型工业化高质量发展。</w:t>
      </w:r>
    </w:p>
    <w:p w14:paraId="57AF1B66">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仿宋" w:eastAsia="楷体_GB2312" w:cs="Times New Roman"/>
          <w:sz w:val="32"/>
          <w:szCs w:val="32"/>
          <w14:ligatures w14:val="none"/>
        </w:rPr>
      </w:pPr>
      <w:r>
        <w:rPr>
          <w:rFonts w:hint="eastAsia" w:ascii="楷体_GB2312" w:hAnsi="仿宋" w:eastAsia="楷体_GB2312" w:cs="Times New Roman"/>
          <w:sz w:val="32"/>
          <w:szCs w:val="32"/>
          <w:lang w:eastAsia="zh-CN"/>
          <w14:ligatures w14:val="none"/>
        </w:rPr>
        <w:t>（</w:t>
      </w:r>
      <w:r>
        <w:rPr>
          <w:rFonts w:hint="eastAsia" w:ascii="楷体_GB2312" w:hAnsi="仿宋" w:eastAsia="楷体_GB2312" w:cs="Times New Roman"/>
          <w:sz w:val="32"/>
          <w:szCs w:val="32"/>
          <w:lang w:val="en-US" w:eastAsia="zh-CN"/>
          <w14:ligatures w14:val="none"/>
        </w:rPr>
        <w:t>一）筑牢政策落地技术支撑，完善全省数实融合标准体系</w:t>
      </w:r>
    </w:p>
    <w:p w14:paraId="4903FC0C">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晨星工厂是山东省立足工业转型、数实融合发展打造的开创性、特色性建设模式，也是落实《山东省新型城镇化规划（2021-2035年）》《山东省制造业数字化转型行动方案（2022-2025年）》《关于促进实体经济和数字经济深度融合培育发展新质生产力的实施方案》等省级重点文件的核心载体。本次地方标准的制定，严格对标省级政策部署中关于晨星工厂建设、智能制造培育、数实融合标准制定的硬性要求，将宏观政策要求转化为可落地、可执行、可考核的技术规范，打通政策落地“最后一公里”，补齐全省制造业数字化转型、数据要素产业化应用的标准短板，进一步健全山东省工业数智化标准体系。</w:t>
      </w:r>
    </w:p>
    <w:p w14:paraId="10E39B5D">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仿宋" w:eastAsia="楷体_GB2312" w:cs="Times New Roman"/>
          <w:sz w:val="32"/>
          <w:szCs w:val="32"/>
          <w:lang w:eastAsia="zh-CN"/>
          <w14:ligatures w14:val="none"/>
        </w:rPr>
      </w:pPr>
      <w:r>
        <w:rPr>
          <w:rFonts w:hint="eastAsia" w:ascii="楷体_GB2312" w:hAnsi="仿宋" w:eastAsia="楷体_GB2312" w:cs="Times New Roman"/>
          <w:sz w:val="32"/>
          <w:szCs w:val="32"/>
          <w:lang w:eastAsia="zh-CN"/>
          <w14:ligatures w14:val="none"/>
        </w:rPr>
        <w:t>（</w:t>
      </w:r>
      <w:r>
        <w:rPr>
          <w:rFonts w:hint="eastAsia" w:ascii="楷体_GB2312" w:hAnsi="仿宋" w:eastAsia="楷体_GB2312" w:cs="Times New Roman"/>
          <w:sz w:val="32"/>
          <w:szCs w:val="32"/>
          <w:lang w:val="en-US" w:eastAsia="zh-CN"/>
          <w14:ligatures w14:val="none"/>
        </w:rPr>
        <w:t>二）</w:t>
      </w:r>
      <w:r>
        <w:rPr>
          <w:rFonts w:hint="eastAsia" w:ascii="楷体_GB2312" w:hAnsi="仿宋" w:eastAsia="楷体_GB2312" w:cs="Times New Roman"/>
          <w:sz w:val="32"/>
          <w:szCs w:val="32"/>
          <w:lang w:eastAsia="zh-CN"/>
          <w14:ligatures w14:val="none"/>
        </w:rPr>
        <w:t>规范产业建设发展秩序，破解行业发展痛点难题</w:t>
      </w:r>
    </w:p>
    <w:p w14:paraId="35D9F1F2">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当前山东省晨星工厂建设处于规模化推广的关键阶段，随着培育数量持续增长、覆盖产业不断拓宽，行业普遍存在建设口径不统一、数智化应用水平不一、建设质量难以把控、先进经验难以复制推广等问题，制约了全省晨星工厂规模化、高质量发展。本标准的发布实施，能够有效统一全省晨星工厂数智化建设的建设标准、应用规范和评价导向，整治行业无序建设乱象，解决企业架构规划薄弱、标准化建设能力不足等核心痛点，引导全省晨星工厂建设从“粗放探索”向“规范提质”转型，全面提升全省工业企业数智化建设整体水平。</w:t>
      </w:r>
    </w:p>
    <w:p w14:paraId="411C17ED">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仿宋" w:eastAsia="楷体_GB2312" w:cs="Times New Roman"/>
          <w:sz w:val="32"/>
          <w:szCs w:val="32"/>
          <w:lang w:eastAsia="zh-CN"/>
          <w14:ligatures w14:val="none"/>
        </w:rPr>
      </w:pPr>
      <w:r>
        <w:rPr>
          <w:rFonts w:hint="eastAsia" w:ascii="楷体_GB2312" w:hAnsi="仿宋" w:eastAsia="楷体_GB2312" w:cs="Times New Roman"/>
          <w:sz w:val="32"/>
          <w:szCs w:val="32"/>
          <w:lang w:eastAsia="zh-CN"/>
          <w14:ligatures w14:val="none"/>
        </w:rPr>
        <w:t>（</w:t>
      </w:r>
      <w:r>
        <w:rPr>
          <w:rFonts w:hint="eastAsia" w:ascii="楷体_GB2312" w:hAnsi="仿宋" w:eastAsia="楷体_GB2312" w:cs="Times New Roman"/>
          <w:sz w:val="32"/>
          <w:szCs w:val="32"/>
          <w:lang w:val="en-US" w:eastAsia="zh-CN"/>
          <w14:ligatures w14:val="none"/>
        </w:rPr>
        <w:t>三</w:t>
      </w:r>
      <w:r>
        <w:rPr>
          <w:rFonts w:hint="eastAsia" w:ascii="楷体_GB2312" w:hAnsi="仿宋" w:eastAsia="楷体_GB2312" w:cs="Times New Roman"/>
          <w:sz w:val="32"/>
          <w:szCs w:val="32"/>
          <w:lang w:eastAsia="zh-CN"/>
          <w14:ligatures w14:val="none"/>
        </w:rPr>
        <w:t>）赋能产业转型升级，培育区域新质生产力</w:t>
      </w:r>
    </w:p>
    <w:p w14:paraId="677A3AB2">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标准聚焦新一代信息技术、高端装备、新能源新材料、高端化工等山东省优势产业，立足数据要素流通与深度应用核心，规范工业全链条数智化应用场景建设，助力工业企业深挖数据价值、优化生产模式、提升运营效率。通过标准化引领，可快速复制推广成熟的数智化建设经验，助力全省完成万家晨星工厂培育、产业大脑建设、智能工厂与数字化车间提质扩容的发展目标，加速实体经济与数字经济深度融合，推动传统工业转型升级、新兴产业迭代赋能，持续培育壮大工业领域新质生产力，夯实山东省制造业数字化、智能化、高端化发展根基。</w:t>
      </w:r>
    </w:p>
    <w:p w14:paraId="22CFAFD5">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仿宋" w:eastAsia="楷体_GB2312" w:cs="Times New Roman"/>
          <w:sz w:val="32"/>
          <w:szCs w:val="32"/>
          <w:lang w:val="en-US" w:eastAsia="zh-CN"/>
          <w14:ligatures w14:val="none"/>
        </w:rPr>
      </w:pPr>
      <w:r>
        <w:rPr>
          <w:rFonts w:hint="eastAsia" w:ascii="楷体_GB2312" w:hAnsi="仿宋" w:eastAsia="楷体_GB2312" w:cs="Times New Roman"/>
          <w:sz w:val="32"/>
          <w:szCs w:val="32"/>
          <w:lang w:val="en-US" w:eastAsia="zh-CN"/>
          <w14:ligatures w14:val="none"/>
        </w:rPr>
        <w:t>（四）打造数实融合山东样板，发挥区域示范引领作用</w:t>
      </w:r>
    </w:p>
    <w:p w14:paraId="3A1FE08B">
      <w:pPr>
        <w:keepNext w:val="0"/>
        <w:keepLines w:val="0"/>
        <w:pageBreakBefore w:val="0"/>
        <w:numPr>
          <w:ilvl w:val="0"/>
          <w:numId w:val="0"/>
        </w:numPr>
        <w:kinsoku/>
        <w:wordWrap/>
        <w:overflowPunct/>
        <w:topLinePunct w:val="0"/>
        <w:bidi w:val="0"/>
        <w:adjustRightInd/>
        <w:snapToGrid/>
        <w:spacing w:line="594" w:lineRule="exact"/>
        <w:ind w:firstLine="632" w:firstLineChars="200"/>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晨星工厂是山东省独创的数实融合特色产业实践，本地方标准是省内首个针对晨星工厂数智化应用的专项标准，既贴合山东工业发展实际、凸显区域产业特色，又具备极强的通用性、指导性和推广性。标准的落地实施，能够系统化固化山东省晨星工厂建设的优秀实践成果，形成可复制、可推广的数实融合建设模式，不仅能够推动全省工业领域数智化规范化、规模化发展，也可为全国地方工业数智化转型、特色工厂标准化建设提供山东经验、山东方案，全面提升山东省工业数字化转型的示范影响力。</w:t>
      </w:r>
    </w:p>
    <w:p w14:paraId="183DE2C9">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黑体" w:hAnsi="黑体" w:eastAsia="黑体" w:cs="宋体"/>
          <w:color w:val="000000"/>
          <w:kern w:val="0"/>
          <w:sz w:val="32"/>
          <w:szCs w:val="32"/>
          <w14:ligatures w14:val="none"/>
        </w:rPr>
      </w:pPr>
      <w:r>
        <w:rPr>
          <w:rFonts w:hint="eastAsia" w:ascii="黑体" w:hAnsi="黑体" w:eastAsia="黑体" w:cs="宋体"/>
          <w:color w:val="000000"/>
          <w:kern w:val="0"/>
          <w:sz w:val="32"/>
          <w:szCs w:val="32"/>
          <w14:ligatures w14:val="none"/>
        </w:rPr>
        <w:t>三、地方标准编制原则、主要技术内容和确定依据；修订</w:t>
      </w:r>
    </w:p>
    <w:p w14:paraId="3CFF4682">
      <w:pPr>
        <w:keepNext w:val="0"/>
        <w:keepLines w:val="0"/>
        <w:pageBreakBefore w:val="0"/>
        <w:kinsoku/>
        <w:wordWrap/>
        <w:overflowPunct/>
        <w:topLinePunct w:val="0"/>
        <w:bidi w:val="0"/>
        <w:adjustRightInd/>
        <w:snapToGrid/>
        <w:spacing w:line="594" w:lineRule="exact"/>
        <w:textAlignment w:val="auto"/>
        <w:rPr>
          <w:rFonts w:hint="eastAsia" w:ascii="黑体" w:hAnsi="黑体" w:eastAsia="黑体" w:cs="宋体"/>
          <w:color w:val="000000"/>
          <w:kern w:val="0"/>
          <w:sz w:val="32"/>
          <w:szCs w:val="32"/>
          <w14:ligatures w14:val="none"/>
        </w:rPr>
      </w:pPr>
      <w:r>
        <w:rPr>
          <w:rFonts w:hint="eastAsia" w:ascii="黑体" w:hAnsi="黑体" w:eastAsia="黑体" w:cs="宋体"/>
          <w:color w:val="000000"/>
          <w:kern w:val="0"/>
          <w:sz w:val="32"/>
          <w:szCs w:val="32"/>
          <w14:ligatures w14:val="none"/>
        </w:rPr>
        <w:t>标准时，还包括修订前后技术内容的对比</w:t>
      </w:r>
    </w:p>
    <w:p w14:paraId="000E3C88">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仿宋" w:eastAsia="楷体_GB2312" w:cs="Times New Roman"/>
          <w:sz w:val="32"/>
          <w:szCs w:val="32"/>
          <w14:ligatures w14:val="none"/>
        </w:rPr>
      </w:pPr>
      <w:r>
        <w:rPr>
          <w:rFonts w:hint="eastAsia" w:ascii="楷体_GB2312" w:hAnsi="仿宋" w:eastAsia="楷体_GB2312" w:cs="Times New Roman"/>
          <w:sz w:val="32"/>
          <w:szCs w:val="32"/>
          <w14:ligatures w14:val="none"/>
        </w:rPr>
        <w:t>（一）编制原则</w:t>
      </w:r>
    </w:p>
    <w:p w14:paraId="2F07C0CA">
      <w:pPr>
        <w:keepNext w:val="0"/>
        <w:keepLines w:val="0"/>
        <w:pageBreakBefore w:val="0"/>
        <w:kinsoku/>
        <w:wordWrap/>
        <w:overflowPunct/>
        <w:topLinePunct w:val="0"/>
        <w:bidi w:val="0"/>
        <w:adjustRightInd/>
        <w:snapToGrid/>
        <w:spacing w:line="594" w:lineRule="exact"/>
        <w:ind w:firstLine="632" w:firstLineChars="200"/>
        <w:textAlignment w:val="auto"/>
        <w:rPr>
          <w:rFonts w:ascii="仿宋" w:hAnsi="仿宋" w:eastAsia="仿宋" w:cs="仿宋"/>
          <w:kern w:val="0"/>
          <w:sz w:val="32"/>
          <w:szCs w:val="32"/>
          <w14:ligatures w14:val="none"/>
        </w:rPr>
      </w:pPr>
      <w:r>
        <w:rPr>
          <w:rFonts w:hint="eastAsia" w:ascii="仿宋_GB2312" w:hAnsi="仿宋" w:eastAsia="仿宋_GB2312" w:cs="Times New Roman"/>
          <w:sz w:val="32"/>
          <w:szCs w:val="32"/>
          <w14:ligatures w14:val="none"/>
        </w:rPr>
        <w:t>本文件依据GB/T 1.1—2020《标准化工作导则第1部分：标准化文件的结构和起草规则》的规定起草</w:t>
      </w:r>
      <w:r>
        <w:rPr>
          <w:rFonts w:hint="eastAsia" w:ascii="仿宋" w:hAnsi="仿宋" w:eastAsia="仿宋" w:cs="仿宋"/>
          <w:kern w:val="0"/>
          <w:sz w:val="32"/>
          <w:szCs w:val="32"/>
          <w14:ligatures w14:val="none"/>
        </w:rPr>
        <w:t>，标准编写坚持以下主要原则：</w:t>
      </w:r>
    </w:p>
    <w:p w14:paraId="405A52AE">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b/>
          <w:bCs/>
          <w:sz w:val="32"/>
          <w:szCs w:val="32"/>
          <w14:ligatures w14:val="none"/>
        </w:rPr>
        <w:t>1. 科学性原则。</w:t>
      </w:r>
      <w:r>
        <w:rPr>
          <w:rFonts w:hint="eastAsia" w:ascii="仿宋_GB2312" w:hAnsi="仿宋" w:eastAsia="仿宋_GB2312" w:cs="Times New Roman"/>
          <w:sz w:val="32"/>
          <w:szCs w:val="32"/>
          <w14:ligatures w14:val="none"/>
        </w:rPr>
        <w:t>本标准聚焦晨星工厂数智化建设与应用领域，通过前期大量行业调研、企业走访、案例梳理，深入研究国家数字经济、新型工业化、新质生产力培育等顶层战略及相关政策法规要求，同时结合山东省晨星工厂建设实际现状、数智化转型痛点、数据应用与场景落地难点，严格遵循地方标准编制程序与规范要求，采用科学严谨的研究方法，对晨星工厂总体架构、建设内容、数据应用、数智化能力建设等关键指标进行科学论证、合理设定与系统分析，确保标准内容科学合理、依据充分、逻辑严谨。​</w:t>
      </w:r>
    </w:p>
    <w:p w14:paraId="48883852">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b/>
          <w:bCs/>
          <w:sz w:val="32"/>
          <w:szCs w:val="32"/>
          <w14:ligatures w14:val="none"/>
        </w:rPr>
        <w:t>2. 适用性原则。</w:t>
      </w:r>
      <w:r>
        <w:rPr>
          <w:rFonts w:hint="eastAsia" w:ascii="仿宋_GB2312" w:hAnsi="仿宋" w:eastAsia="仿宋_GB2312" w:cs="Times New Roman"/>
          <w:sz w:val="32"/>
          <w:szCs w:val="32"/>
          <w14:ligatures w14:val="none"/>
        </w:rPr>
        <w:t>本标准制定过程中，充分结合山东省各行业、各区域晨星工厂建设推进实际情况与企业数智化应用真实需求，贴合全省大中小工业企业数字化转型基础差异，确保标准各项条款适配各级落地实施要求、契合企业建设诉求与监管服务需求。按照晨星工厂数智化建设全流程、全场景明确规范化建设要求、实施路径与应用规范，内容清晰、要求具体、落地性强、易于实操推广，能够有效适配不同产业、不同层级企业的晨星工厂建设工作，具备广泛的适用性与现实可行性。</w:t>
      </w:r>
    </w:p>
    <w:p w14:paraId="78BFCB02">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b/>
          <w:bCs/>
          <w:sz w:val="32"/>
          <w:szCs w:val="32"/>
          <w14:ligatures w14:val="none"/>
        </w:rPr>
        <w:t>3. 先进性原则。</w:t>
      </w:r>
      <w:r>
        <w:rPr>
          <w:rFonts w:hint="eastAsia" w:ascii="仿宋_GB2312" w:hAnsi="仿宋" w:eastAsia="仿宋_GB2312" w:cs="Times New Roman"/>
          <w:sz w:val="32"/>
          <w:szCs w:val="32"/>
          <w14:ligatures w14:val="none"/>
        </w:rPr>
        <w:t>编制过程中系统收集、整理并提炼省内外工业企业数实融合、智能工厂建设、数据赋能应用的先进经验与成熟实践，对标国内制造业数字化转型、工业大数据应用、新质生产力培育的先进标准与规范体系，严格依据相关政策法规及行业标准开展本标准编制。同时广泛吸纳智能制造、工业数字化、产业标准领域专家意见，优化标准框架与核心条款，使本标准具备行业先进性与专业指导性，能够有效引领全省晨星工厂规范化、高水平数智化建设。​</w:t>
      </w:r>
    </w:p>
    <w:p w14:paraId="030A5684">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b/>
          <w:bCs/>
          <w:sz w:val="32"/>
          <w:szCs w:val="32"/>
          <w14:ligatures w14:val="none"/>
        </w:rPr>
        <w:t>4. 规范性原则。</w:t>
      </w:r>
      <w:r>
        <w:rPr>
          <w:rFonts w:hint="eastAsia" w:ascii="仿宋_GB2312" w:hAnsi="仿宋" w:eastAsia="仿宋_GB2312" w:cs="Times New Roman"/>
          <w:sz w:val="32"/>
          <w:szCs w:val="32"/>
          <w14:ligatures w14:val="none"/>
        </w:rPr>
        <w:t>本标准在制定过程中严格遵循国家、山东省标准化工作相关政策方针，紧密贴合全省数字强省建设、制造业数字化转型、数实融合培育新质生产力等系列政策文件要求，严格按照地方标准编制体例、撰写规范、审定流程开展编制工作。标准整体框架统一、术语定义规范、条款表述严谨，确保本标准具备良好的规范性、统一性与行业权威性，可作为全省晨星工厂建设、应用与评价的规范依据。​</w:t>
      </w:r>
    </w:p>
    <w:p w14:paraId="3794B133">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b/>
          <w:bCs/>
          <w:sz w:val="32"/>
          <w:szCs w:val="32"/>
          <w14:ligatures w14:val="none"/>
        </w:rPr>
        <w:t>5. 前瞻性原则。</w:t>
      </w:r>
      <w:r>
        <w:rPr>
          <w:rFonts w:hint="eastAsia" w:ascii="仿宋_GB2312" w:hAnsi="仿宋" w:eastAsia="仿宋_GB2312" w:cs="Times New Roman"/>
          <w:sz w:val="32"/>
          <w:szCs w:val="32"/>
          <w14:ligatures w14:val="none"/>
        </w:rPr>
        <w:t>本标准立足山东省新型工业化发展大局，充分研判工业数据要素流通、智能制造场景迭代、产业大脑与晨星工厂协同发展、数实融合模式创新等未来发展趋势。在总体架构设计、数智化能力要求、数据应用规范、场景建设方向等关键内容和指标设置上预留发展空间，具备较强的前瞻性与预见性，能够适配未来一段时期全省晨星工厂规模化培育、数智化提质升级、新型工业化创新发展的建设需求。</w:t>
      </w:r>
    </w:p>
    <w:p w14:paraId="29B562C4">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（二）主要技术内容</w:t>
      </w:r>
    </w:p>
    <w:p w14:paraId="2923170D">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本标准共由</w:t>
      </w:r>
      <w:r>
        <w:rPr>
          <w:rFonts w:hint="eastAsia" w:ascii="仿宋_GB2312" w:hAnsi="仿宋" w:eastAsia="仿宋_GB2312" w:cs="Times New Roman"/>
          <w:sz w:val="32"/>
          <w:szCs w:val="32"/>
          <w:lang w:val="en-US" w:eastAsia="zh-CN"/>
          <w14:ligatures w14:val="none"/>
        </w:rPr>
        <w:t>7</w:t>
      </w:r>
      <w:r>
        <w:rPr>
          <w:rFonts w:hint="eastAsia" w:ascii="仿宋_GB2312" w:hAnsi="仿宋" w:eastAsia="仿宋_GB2312" w:cs="Times New Roman"/>
          <w:sz w:val="32"/>
          <w:szCs w:val="32"/>
          <w14:ligatures w14:val="none"/>
        </w:rPr>
        <w:t>章节组成，其中，第3章术语定义规定了</w:t>
      </w:r>
      <w:r>
        <w:rPr>
          <w:rFonts w:hint="eastAsia" w:ascii="仿宋_GB2312" w:hAnsi="仿宋" w:eastAsia="仿宋_GB2312" w:cs="Times New Roman"/>
          <w:sz w:val="32"/>
          <w:szCs w:val="32"/>
          <w:lang w:val="en-US" w:eastAsia="zh-CN"/>
          <w14:ligatures w14:val="none"/>
        </w:rPr>
        <w:t>晨星工厂等</w:t>
      </w:r>
      <w:r>
        <w:rPr>
          <w:rFonts w:hint="eastAsia" w:ascii="仿宋_GB2312" w:hAnsi="仿宋" w:eastAsia="仿宋_GB2312" w:cs="Times New Roman"/>
          <w:sz w:val="32"/>
          <w:szCs w:val="32"/>
          <w14:ligatures w14:val="none"/>
        </w:rPr>
        <w:t>有关定义，第4章明确</w:t>
      </w:r>
      <w:r>
        <w:rPr>
          <w:rFonts w:hint="eastAsia" w:ascii="仿宋_GB2312" w:hAnsi="仿宋" w:eastAsia="仿宋_GB2312" w:cs="Times New Roman"/>
          <w:sz w:val="32"/>
          <w:szCs w:val="32"/>
          <w:lang w:val="en-US" w:eastAsia="zh-CN"/>
          <w14:ligatures w14:val="none"/>
        </w:rPr>
        <w:t>了缩略语</w:t>
      </w:r>
      <w:r>
        <w:rPr>
          <w:rFonts w:hint="eastAsia" w:ascii="仿宋_GB2312" w:hAnsi="仿宋" w:eastAsia="仿宋_GB2312" w:cs="Times New Roman"/>
          <w:sz w:val="32"/>
          <w:szCs w:val="32"/>
          <w14:ligatures w14:val="none"/>
        </w:rPr>
        <w:t>，第5章规定了</w:t>
      </w:r>
      <w:r>
        <w:rPr>
          <w:rFonts w:hint="eastAsia" w:ascii="仿宋_GB2312" w:hAnsi="仿宋" w:eastAsia="仿宋_GB2312" w:cs="Times New Roman"/>
          <w:sz w:val="32"/>
          <w:szCs w:val="32"/>
          <w:lang w:val="en-US" w:eastAsia="zh-CN"/>
          <w14:ligatures w14:val="none"/>
        </w:rPr>
        <w:t>晨星工厂建设原则</w:t>
      </w:r>
      <w:r>
        <w:rPr>
          <w:rFonts w:hint="eastAsia" w:ascii="仿宋_GB2312" w:hAnsi="仿宋" w:eastAsia="仿宋_GB2312" w:cs="Times New Roman"/>
          <w:sz w:val="32"/>
          <w:szCs w:val="32"/>
          <w14:ligatures w14:val="none"/>
        </w:rPr>
        <w:t>，第6章规定了</w:t>
      </w:r>
      <w:r>
        <w:rPr>
          <w:rFonts w:hint="eastAsia" w:ascii="仿宋_GB2312" w:hAnsi="仿宋" w:eastAsia="仿宋_GB2312" w:cs="Times New Roman"/>
          <w:sz w:val="32"/>
          <w:szCs w:val="32"/>
          <w:lang w:val="en-US" w:eastAsia="zh-CN"/>
          <w14:ligatures w14:val="none"/>
        </w:rPr>
        <w:t>整体框架</w:t>
      </w:r>
      <w:r>
        <w:rPr>
          <w:rFonts w:hint="eastAsia" w:ascii="仿宋_GB2312" w:hAnsi="仿宋" w:eastAsia="仿宋_GB2312" w:cs="Times New Roman"/>
          <w:sz w:val="32"/>
          <w:szCs w:val="32"/>
          <w14:ligatures w14:val="none"/>
        </w:rPr>
        <w:t>，第7章规定了</w:t>
      </w:r>
      <w:r>
        <w:rPr>
          <w:rFonts w:hint="eastAsia" w:ascii="仿宋_GB2312" w:hAnsi="仿宋" w:eastAsia="仿宋_GB2312" w:cs="Times New Roman"/>
          <w:sz w:val="32"/>
          <w:szCs w:val="32"/>
          <w:lang w:val="en-US" w:eastAsia="zh-CN"/>
          <w14:ligatures w14:val="none"/>
        </w:rPr>
        <w:t>建设内容</w:t>
      </w:r>
      <w:r>
        <w:rPr>
          <w:rFonts w:hint="eastAsia" w:ascii="仿宋_GB2312" w:hAnsi="仿宋" w:eastAsia="仿宋_GB2312" w:cs="Times New Roman"/>
          <w:sz w:val="32"/>
          <w:szCs w:val="32"/>
          <w14:ligatures w14:val="none"/>
        </w:rPr>
        <w:t>。具体如下：</w:t>
      </w:r>
    </w:p>
    <w:p w14:paraId="3DCFEC2D">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1.标准适用范围。本文件给出了晨星工厂建设原则、整体框架、建设内容等内容。本文件适用于晨星工厂的建设工作。</w:t>
      </w:r>
    </w:p>
    <w:p w14:paraId="3AFDE9BC">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2.术语和定义。晨星工厂</w:t>
      </w:r>
      <w:r>
        <w:rPr>
          <w:rFonts w:hint="eastAsia" w:ascii="仿宋_GB2312" w:hAnsi="仿宋" w:eastAsia="仿宋_GB2312" w:cs="Times New Roman"/>
          <w:sz w:val="32"/>
          <w:szCs w:val="32"/>
          <w:lang w:val="en-US" w:eastAsia="zh-CN"/>
          <w14:ligatures w14:val="none"/>
        </w:rPr>
        <w:t>是</w:t>
      </w:r>
      <w:r>
        <w:rPr>
          <w:rFonts w:hint="eastAsia" w:ascii="仿宋_GB2312" w:hAnsi="仿宋" w:eastAsia="仿宋_GB2312" w:cs="Times New Roman"/>
          <w:sz w:val="32"/>
          <w:szCs w:val="32"/>
          <w14:ligatures w14:val="none"/>
        </w:rPr>
        <w:t>以企业数字化智能化深度融合为驱动，以全场景价值挖掘为抓手，依托卓越制造体系，运用新一代信息技术对企业研发、生产、供应链、销售、服务等全流程进行数智转型和价值重塑，具备技术引领、模式创新、集成协同、安全高效、绿色低碳等特征的新型智造工厂。</w:t>
      </w:r>
    </w:p>
    <w:p w14:paraId="3A03D7A0">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14:ligatures w14:val="none"/>
        </w:rPr>
        <w:t>3</w:t>
      </w:r>
      <w:r>
        <w:rPr>
          <w:rFonts w:ascii="仿宋_GB2312" w:hAnsi="仿宋" w:eastAsia="仿宋_GB2312" w:cs="Times New Roman"/>
          <w:sz w:val="32"/>
          <w:szCs w:val="32"/>
          <w14:ligatures w14:val="none"/>
        </w:rPr>
        <w:t>.</w:t>
      </w:r>
      <w:r>
        <w:rPr>
          <w:rFonts w:hint="eastAsia" w:ascii="仿宋_GB2312" w:hAnsi="仿宋" w:eastAsia="仿宋_GB2312" w:cs="Times New Roman"/>
          <w:sz w:val="32"/>
          <w:szCs w:val="32"/>
          <w14:ligatures w14:val="none"/>
        </w:rPr>
        <w:t>基本</w:t>
      </w:r>
      <w:r>
        <w:rPr>
          <w:rFonts w:hint="eastAsia" w:ascii="仿宋_GB2312" w:hAnsi="仿宋" w:eastAsia="仿宋_GB2312" w:cs="Times New Roman"/>
          <w:sz w:val="32"/>
          <w:szCs w:val="32"/>
          <w:lang w:val="en-US" w:eastAsia="zh-CN"/>
          <w14:ligatures w14:val="none"/>
        </w:rPr>
        <w:t>原则</w:t>
      </w:r>
      <w:r>
        <w:rPr>
          <w:rFonts w:hint="eastAsia" w:ascii="仿宋_GB2312" w:hAnsi="仿宋" w:eastAsia="仿宋_GB2312" w:cs="Times New Roman"/>
          <w:sz w:val="32"/>
          <w:szCs w:val="32"/>
          <w14:ligatures w14:val="none"/>
        </w:rPr>
        <w:t>。</w:t>
      </w:r>
      <w:r>
        <w:rPr>
          <w:rFonts w:hint="eastAsia" w:ascii="仿宋_GB2312" w:hAnsi="仿宋" w:eastAsia="仿宋_GB2312" w:cs="Times New Roman"/>
          <w:sz w:val="32"/>
          <w:szCs w:val="32"/>
          <w:lang w:val="en-US" w:eastAsia="zh-CN"/>
          <w14:ligatures w14:val="none"/>
        </w:rPr>
        <w:t>包括</w:t>
      </w:r>
      <w:r>
        <w:rPr>
          <w:rFonts w:hint="eastAsia" w:ascii="仿宋_GB2312" w:hAnsi="仿宋" w:eastAsia="仿宋_GB2312" w:cs="Times New Roman"/>
          <w:sz w:val="32"/>
          <w:szCs w:val="32"/>
          <w14:ligatures w14:val="none"/>
        </w:rPr>
        <w:t>统筹规划</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需求导向</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数据赋能</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安全可靠</w:t>
      </w:r>
      <w:r>
        <w:rPr>
          <w:rFonts w:hint="eastAsia" w:ascii="仿宋_GB2312" w:hAnsi="仿宋" w:eastAsia="仿宋_GB2312" w:cs="Times New Roman"/>
          <w:sz w:val="32"/>
          <w:szCs w:val="32"/>
          <w:lang w:val="en-US" w:eastAsia="zh-CN"/>
          <w14:ligatures w14:val="none"/>
        </w:rPr>
        <w:t>原则。</w:t>
      </w:r>
    </w:p>
    <w:p w14:paraId="542F97D6">
      <w:pPr>
        <w:keepNext w:val="0"/>
        <w:keepLines w:val="0"/>
        <w:pageBreakBefore w:val="0"/>
        <w:kinsoku/>
        <w:wordWrap/>
        <w:overflowPunct/>
        <w:topLinePunct w:val="0"/>
        <w:bidi w:val="0"/>
        <w:adjustRightInd/>
        <w:snapToGrid/>
        <w:spacing w:line="594" w:lineRule="exact"/>
        <w:ind w:firstLine="632" w:firstLineChars="200"/>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14:ligatures w14:val="none"/>
        </w:rPr>
        <w:t>4</w:t>
      </w:r>
      <w:r>
        <w:rPr>
          <w:rFonts w:ascii="仿宋_GB2312" w:hAnsi="仿宋" w:eastAsia="仿宋_GB2312" w:cs="Times New Roman"/>
          <w:sz w:val="32"/>
          <w:szCs w:val="32"/>
          <w14:ligatures w14:val="none"/>
        </w:rPr>
        <w:t>.</w:t>
      </w:r>
      <w:r>
        <w:rPr>
          <w:rFonts w:hint="eastAsia" w:ascii="仿宋_GB2312" w:hAnsi="仿宋" w:eastAsia="仿宋_GB2312" w:cs="Times New Roman"/>
          <w:sz w:val="32"/>
          <w:szCs w:val="32"/>
          <w:lang w:val="en-US" w:eastAsia="zh-CN"/>
          <w14:ligatures w14:val="none"/>
        </w:rPr>
        <w:t>整体框架</w:t>
      </w:r>
      <w:r>
        <w:rPr>
          <w:rFonts w:hint="eastAsia" w:ascii="仿宋_GB2312" w:hAnsi="仿宋" w:eastAsia="仿宋_GB2312" w:cs="Times New Roman"/>
          <w:sz w:val="32"/>
          <w:szCs w:val="32"/>
          <w14:ligatures w14:val="none"/>
        </w:rPr>
        <w:t>。</w:t>
      </w:r>
      <w:r>
        <w:rPr>
          <w:rFonts w:hint="eastAsia" w:ascii="仿宋_GB2312" w:hAnsi="仿宋" w:eastAsia="仿宋_GB2312" w:cs="Times New Roman"/>
          <w:sz w:val="32"/>
          <w:szCs w:val="32"/>
          <w:lang w:val="en-US" w:eastAsia="zh-CN"/>
          <w14:ligatures w14:val="none"/>
        </w:rPr>
        <w:t>包括顶层规划层、基础设施层、数据资源层、数据应用层、数据安全以及运维保障等内容。</w:t>
      </w:r>
    </w:p>
    <w:p w14:paraId="51ED2F96">
      <w:pPr>
        <w:keepNext w:val="0"/>
        <w:keepLines w:val="0"/>
        <w:pageBreakBefore w:val="0"/>
        <w:kinsoku/>
        <w:wordWrap/>
        <w:overflowPunct/>
        <w:topLinePunct w:val="0"/>
        <w:bidi w:val="0"/>
        <w:adjustRightInd/>
        <w:snapToGrid/>
        <w:spacing w:line="594" w:lineRule="exact"/>
        <w:ind w:firstLine="632" w:firstLineChars="200"/>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5.建设内容。对顶层规划层、基础设施层、数据资源层、数据应用层、数据安全以及运维保障等各层级内容进行细化。</w:t>
      </w:r>
    </w:p>
    <w:p w14:paraId="3426F912">
      <w:pPr>
        <w:keepNext w:val="0"/>
        <w:keepLines w:val="0"/>
        <w:pageBreakBefore w:val="0"/>
        <w:kinsoku/>
        <w:wordWrap/>
        <w:overflowPunct/>
        <w:topLinePunct w:val="0"/>
        <w:bidi w:val="0"/>
        <w:adjustRightInd/>
        <w:snapToGrid/>
        <w:spacing w:line="594" w:lineRule="exact"/>
        <w:ind w:firstLine="632" w:firstLineChars="200"/>
        <w:textAlignment w:val="auto"/>
        <w:rPr>
          <w:rFonts w:ascii="楷体_GB2312" w:hAnsi="楷体" w:eastAsia="楷体_GB2312" w:cs="楷体"/>
          <w:color w:val="000000"/>
          <w:kern w:val="0"/>
          <w:sz w:val="32"/>
          <w:szCs w:val="32"/>
          <w14:ligatures w14:val="none"/>
        </w:rPr>
      </w:pPr>
      <w:r>
        <w:rPr>
          <w:rFonts w:hint="eastAsia" w:ascii="楷体_GB2312" w:hAnsi="楷体" w:eastAsia="楷体_GB2312" w:cs="楷体"/>
          <w:color w:val="000000"/>
          <w:kern w:val="0"/>
          <w:sz w:val="32"/>
          <w:szCs w:val="32"/>
          <w14:ligatures w14:val="none"/>
        </w:rPr>
        <w:t>（三）主要技术内容的确定依据</w:t>
      </w:r>
    </w:p>
    <w:p w14:paraId="570C2184">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化文件以晨星工厂为标准化对象，聚焦晨星工厂整体建设、运营管理、体系落地全流程标准化建设工作，针对工厂建设及运行过程中的各项规范要求、实施标准、管控细则进行统一界定与规范。文件适用于晨星工厂新建、升级改造、日常运维、体系优化等全阶段工作，是统筹工厂规范化、标准化、系统化建设的核心指导性文件，全面覆盖工厂硬件建设、软件体系、管理机制、运行规范等各项核心工作，为工厂标准化落地实施提供统一、合规、可落地的执行标准。​</w:t>
      </w:r>
    </w:p>
    <w:p w14:paraId="0E21C3C0">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文件核心技术内容体系完整、层级清晰，主要涵盖基本原则、整体框架、建设内容三大核心板块。其中，基本原则板块明确晨星工厂标准化建设的核心导向、合规底线、实施准则与核心原则，界定建设过程中需遵循的整体思路，保障各项工作贴合工厂发展定位、行业规范及建设初衷；整体框架板块梳理工厂标准化建设的整体架构、层级体系、模块划分与逻辑关系，明确各建设模块的定位、作用及衔接关系，搭建权责清晰、覆盖全面、协同统一的标准化建设体系；建设内容板块为文件核心实操内容，细化拆解工厂基础设施建设、设备配置标准、管理体系搭建、流程规范制定、质量管控标准、安全运维规范、人员管理标准、数字化建设规范等各项具体建设内容，明确各模块的建设要求、技术标准、实施细则与验收规范，全方位、精细化规范工厂标准化建设各项实操工作。​</w:t>
      </w:r>
    </w:p>
    <w:p w14:paraId="4B9A719D">
      <w:pPr>
        <w:keepNext w:val="0"/>
        <w:keepLines w:val="0"/>
        <w:pageBreakBefore w:val="0"/>
        <w:kinsoku/>
        <w:wordWrap/>
        <w:overflowPunct/>
        <w:topLinePunct w:val="0"/>
        <w:bidi w:val="0"/>
        <w:adjustRightInd/>
        <w:snapToGrid/>
        <w:spacing w:line="594" w:lineRule="exact"/>
        <w:ind w:firstLine="632" w:firstLineChars="200"/>
        <w:textAlignment w:val="auto"/>
        <w:rPr>
          <w:rFonts w:hint="default" w:ascii="仿宋_GB2312" w:hAnsi="仿宋" w:eastAsia="仿宋_GB2312" w:cs="Times New Roman"/>
          <w:sz w:val="32"/>
          <w:szCs w:val="32"/>
          <w:lang w:val="en-US"/>
          <w14:ligatures w14:val="none"/>
        </w:rPr>
      </w:pPr>
      <w:r>
        <w:rPr>
          <w:rFonts w:hint="eastAsia" w:ascii="仿宋_GB2312" w:hAnsi="仿宋" w:eastAsia="仿宋_GB2312" w:cs="Times New Roman"/>
          <w:sz w:val="32"/>
          <w:szCs w:val="32"/>
          <w14:ligatures w14:val="none"/>
        </w:rPr>
        <w:t>本文件的编制、条款设定、标准界定及内容落地，均严格依据</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晨星工厂建设指南</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核心要求开展，以该指南的整体建设目标、建设规划、规范要求、发展定位为根本遵循。文件全面承接指南中的核心部署与标准规范，结合晨星工厂实际建设场景、运营需求、发展规划进行细化、补充与落地优化，确保本文件各项标准化条款合规适配、贴合实际、科学可行，完全契合晨星工厂整体建设规划与发展要求，为工厂标准化建设工作有序推进、落地见效提供坚实的制度与技术支撑。</w:t>
      </w:r>
    </w:p>
    <w:p w14:paraId="72D1301B">
      <w:pPr>
        <w:keepNext w:val="0"/>
        <w:keepLines w:val="0"/>
        <w:pageBreakBefore w:val="0"/>
        <w:widowControl/>
        <w:kinsoku/>
        <w:wordWrap/>
        <w:overflowPunct/>
        <w:topLinePunct w:val="0"/>
        <w:autoSpaceDE w:val="0"/>
        <w:autoSpaceDN w:val="0"/>
        <w:bidi w:val="0"/>
        <w:adjustRightInd/>
        <w:snapToGrid/>
        <w:spacing w:line="594" w:lineRule="exact"/>
        <w:ind w:firstLine="632" w:firstLineChars="200"/>
        <w:textAlignment w:val="auto"/>
        <w:rPr>
          <w:rFonts w:hint="eastAsia" w:ascii="黑体" w:hAnsi="黑体" w:eastAsia="黑体" w:cs="宋体"/>
          <w:kern w:val="0"/>
          <w:sz w:val="32"/>
          <w:szCs w:val="32"/>
          <w14:ligatures w14:val="none"/>
        </w:rPr>
      </w:pPr>
      <w:r>
        <w:rPr>
          <w:rFonts w:hint="eastAsia" w:ascii="黑体" w:hAnsi="黑体" w:eastAsia="黑体" w:cs="宋体"/>
          <w:kern w:val="0"/>
          <w:sz w:val="32"/>
          <w:szCs w:val="32"/>
          <w14:ligatures w14:val="none"/>
        </w:rPr>
        <w:t>四、试验验证的分析、综述报告，预期的经济、社会和生态效益</w:t>
      </w:r>
    </w:p>
    <w:p w14:paraId="631A9B76">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楷体_GB2312" w:hAnsi="楷体_GB2312" w:eastAsia="楷体_GB2312" w:cs="楷体_GB2312"/>
          <w:sz w:val="32"/>
          <w:szCs w:val="32"/>
          <w14:ligatures w14:val="none"/>
        </w:rPr>
        <w:t>（一）规范工厂数智化建设体系，降低企业转型成本</w:t>
      </w:r>
      <w:r>
        <w:rPr>
          <w:rFonts w:hint="eastAsia" w:ascii="仿宋_GB2312" w:hAnsi="仿宋" w:eastAsia="仿宋_GB2312" w:cs="Times New Roman"/>
          <w:sz w:val="32"/>
          <w:szCs w:val="32"/>
          <w14:ligatures w14:val="none"/>
        </w:rPr>
        <w:t>​</w:t>
      </w:r>
    </w:p>
    <w:p w14:paraId="10523892">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的实施将有效规范全省晨星工厂数智化建设体系，统一工业企业数智化转型建设架构、建设内容和应用标准，有效解决企业转型路径不清晰、建设口径不统一、盲目投入、重复建设等突出问题，大幅降低工业企业数字化转型的试错成本、时间成本和资金投入成本，全面提升企业设备、人力、数据等生产要素资源利用效率。通过标准化引导企业深化数据采集、存算、管理及全场景应用，推动生产管控、仓储物流、质量检测、运营决策全流程数字化、智能化升级，持续优化生产工艺与产能配置，显著提升企业生产运营效率、产品良品率和产能利用率，切实增强企业市场竞争力和盈利水平。同时，本标准可为全省大规模培育晨星工厂提供统一建设依据，助力全省优势产业集群提质扩容，加速新质生产力培育落地，推动产业链上下游数字化协同升级，构建规范统一、高效联动的制造业数字化发展生态，持续夯实全省工业经济高质量发展底盘，全面提升山东省制造业整体发展能级与行业话语权。​</w:t>
      </w:r>
    </w:p>
    <w:p w14:paraId="1E7CEFE8">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楷体_GB2312" w:eastAsia="楷体_GB2312" w:cs="楷体_GB2312"/>
          <w:sz w:val="32"/>
          <w:szCs w:val="32"/>
          <w14:ligatures w14:val="none"/>
        </w:rPr>
      </w:pPr>
      <w:r>
        <w:rPr>
          <w:rFonts w:hint="eastAsia" w:ascii="楷体_GB2312" w:hAnsi="楷体_GB2312" w:eastAsia="楷体_GB2312" w:cs="楷体_GB2312"/>
          <w:sz w:val="32"/>
          <w:szCs w:val="32"/>
          <w14:ligatures w14:val="none"/>
        </w:rPr>
        <w:t>（</w:t>
      </w:r>
      <w:r>
        <w:rPr>
          <w:rFonts w:hint="eastAsia" w:ascii="楷体_GB2312" w:hAnsi="楷体_GB2312" w:eastAsia="楷体_GB2312" w:cs="楷体_GB2312"/>
          <w:sz w:val="32"/>
          <w:szCs w:val="32"/>
          <w:lang w:val="en-US" w:eastAsia="zh-CN"/>
          <w14:ligatures w14:val="none"/>
        </w:rPr>
        <w:t>二</w:t>
      </w:r>
      <w:r>
        <w:rPr>
          <w:rFonts w:hint="eastAsia" w:ascii="楷体_GB2312" w:hAnsi="楷体_GB2312" w:eastAsia="楷体_GB2312" w:cs="楷体_GB2312"/>
          <w:sz w:val="32"/>
          <w:szCs w:val="32"/>
          <w14:ligatures w14:val="none"/>
        </w:rPr>
        <w:t>）完善地方标准体系，夯实政策落地支撑​</w:t>
      </w:r>
    </w:p>
    <w:p w14:paraId="0A98841C">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的制定与实施，是全面落实国家数实融合发展战略及山东省数字强省建设、制造业数字化转型、培育新质生产力等系列政策要求的重要技术支撑，能够有效补齐我省晨星工厂数智化建设领域标准空白，进一步完善全省工业数字化标准体系，为新型工业化建设、工业数据赋能专项行动落地提供规范化、制度化保障。标准通过统一建设规范、规范行业发展秩序，有效缩小大中小企业数字化发展差距，化解行业发展不均衡、建设质量参差不齐等问题，推动全省工业数智化建设规范化、有序化、均衡化发展。同时，标准落地将持续带动工业数字化、智能制造、数据运维等新兴领域人才培育，催生新型就业岗位，完善产业人才梯队建设。通过打造可复制、可推广的晨星工厂数智化建设山东模式，充分发挥示范引领和辐射带动作用，树立全省数实融合特色标杆，提升山东省制造业数字化转型的行业影响力和区域示范效应，为全国工业数智化规范化建设提供可借鉴的实践经验。​</w:t>
      </w:r>
    </w:p>
    <w:p w14:paraId="0D588DBB">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楷体_GB2312" w:hAnsi="楷体_GB2312" w:eastAsia="楷体_GB2312" w:cs="楷体_GB2312"/>
          <w:sz w:val="32"/>
          <w:szCs w:val="32"/>
          <w14:ligatures w14:val="none"/>
        </w:rPr>
      </w:pPr>
      <w:r>
        <w:rPr>
          <w:rFonts w:hint="eastAsia" w:ascii="楷体_GB2312" w:hAnsi="楷体_GB2312" w:eastAsia="楷体_GB2312" w:cs="楷体_GB2312"/>
          <w:sz w:val="32"/>
          <w:szCs w:val="32"/>
          <w14:ligatures w14:val="none"/>
        </w:rPr>
        <w:t>（</w:t>
      </w:r>
      <w:r>
        <w:rPr>
          <w:rFonts w:hint="eastAsia" w:ascii="楷体_GB2312" w:hAnsi="楷体_GB2312" w:eastAsia="楷体_GB2312" w:cs="楷体_GB2312"/>
          <w:sz w:val="32"/>
          <w:szCs w:val="32"/>
          <w:lang w:val="en-US" w:eastAsia="zh-CN"/>
          <w14:ligatures w14:val="none"/>
        </w:rPr>
        <w:t>三</w:t>
      </w:r>
      <w:r>
        <w:rPr>
          <w:rFonts w:hint="eastAsia" w:ascii="楷体_GB2312" w:hAnsi="楷体_GB2312" w:eastAsia="楷体_GB2312" w:cs="楷体_GB2312"/>
          <w:sz w:val="32"/>
          <w:szCs w:val="32"/>
          <w14:ligatures w14:val="none"/>
        </w:rPr>
        <w:t>）推动工业智能绿色管控，助力低碳转型发展​</w:t>
      </w:r>
    </w:p>
    <w:p w14:paraId="135A1B07">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依托数智化、智能化规范化建设要求，引导工业企业运用数字化手段实现生产全过程精准管控、动态监测和智能调度，有效优化生产流程、合理配置生产资源，减少原材料浪费、无效能耗和粗放式生产消耗，持续提升企业节能降耗、降本增效能力。通过标准化推进企业能耗、排污、废弃物处置等环节数字化监管，实现污染物排放、能源消耗的实时监控、精准分析和智能管控，有效降低生产环节污染物排放总量，提升企业绿色生产管控水平。同时，标准有效引导企业淘汰粗放低效生产模式，推动传统工业生产向精细化、智能化、绿色化转型，助力工业领域绿色低碳发展，促进产业发展与生态保护协同共进，为全省工业绿色低碳高质量发展、生态环境持续改善提供有力支撑。</w:t>
      </w:r>
    </w:p>
    <w:p w14:paraId="4AD4D332">
      <w:pPr>
        <w:keepNext w:val="0"/>
        <w:keepLines w:val="0"/>
        <w:pageBreakBefore w:val="0"/>
        <w:widowControl/>
        <w:kinsoku/>
        <w:wordWrap/>
        <w:overflowPunct/>
        <w:topLinePunct w:val="0"/>
        <w:autoSpaceDE w:val="0"/>
        <w:autoSpaceDN w:val="0"/>
        <w:bidi w:val="0"/>
        <w:adjustRightInd/>
        <w:snapToGrid/>
        <w:spacing w:line="594" w:lineRule="exact"/>
        <w:ind w:firstLine="632" w:firstLineChars="200"/>
        <w:textAlignment w:val="auto"/>
        <w:rPr>
          <w:rFonts w:hint="eastAsia" w:ascii="黑体" w:hAnsi="黑体" w:eastAsia="黑体" w:cs="宋体"/>
          <w:kern w:val="0"/>
          <w:sz w:val="32"/>
          <w:szCs w:val="32"/>
          <w14:ligatures w14:val="none"/>
        </w:rPr>
      </w:pPr>
      <w:r>
        <w:rPr>
          <w:rFonts w:hint="eastAsia" w:ascii="黑体" w:hAnsi="黑体" w:eastAsia="黑体" w:cs="宋体"/>
          <w:kern w:val="0"/>
          <w:sz w:val="32"/>
          <w:szCs w:val="32"/>
          <w14:ligatures w14:val="none"/>
        </w:rPr>
        <w:t>五、与现行相关法律、法规、规章和其他标准的关系</w:t>
      </w:r>
    </w:p>
    <w:p w14:paraId="6726E9CA">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本标准主要参考的国家及山东省政策、法规文件如下：</w:t>
      </w:r>
    </w:p>
    <w:p w14:paraId="4F80C316">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《中华人民共和国标准化法》</w:t>
      </w:r>
    </w:p>
    <w:p w14:paraId="48B62CA8">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《国家标准化发展纲要》</w:t>
      </w:r>
    </w:p>
    <w:p w14:paraId="4C2BCF8D">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《“十四五” 数字经济发展规划》</w:t>
      </w:r>
    </w:p>
    <w:p w14:paraId="78CFAED1">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《“十四五” 智能制造发展规划》</w:t>
      </w:r>
    </w:p>
    <w:p w14:paraId="566173D3">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国务院《新一代人工智能发展规划》</w:t>
      </w:r>
    </w:p>
    <w:p w14:paraId="0C5B4CD0">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工业和信息化部《“十四五” 工业互联网发展规划》</w:t>
      </w:r>
    </w:p>
    <w:p w14:paraId="41FA5DE0">
      <w:pPr>
        <w:keepNext w:val="0"/>
        <w:keepLines w:val="0"/>
        <w:pageBreakBefore w:val="0"/>
        <w:numPr>
          <w:ilvl w:val="0"/>
          <w:numId w:val="3"/>
        </w:numPr>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财政部、工信部等《智能制造标准体系建设指南》</w:t>
      </w:r>
    </w:p>
    <w:p w14:paraId="4F392F26">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《〈中国制造 2025〉山东省行动纲要》（鲁政发〔2016〕23 号）</w:t>
      </w:r>
    </w:p>
    <w:p w14:paraId="63EC7BAA">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《山东省智能制造发展规划（2017—2022 年）》（鲁经信装〔2017〕358 号）</w:t>
      </w:r>
    </w:p>
    <w:p w14:paraId="26E0DC23">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《山东省制造业数字化转型行动方案（2022—2025 年）》（鲁政字〔2022〕201 号）</w:t>
      </w:r>
    </w:p>
    <w:p w14:paraId="30B211BB">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 “十四五” 数字强省建设规划》</w:t>
      </w:r>
    </w:p>
    <w:p w14:paraId="44CDA9B9">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《关于促进实体经济和数字经济深度融合培育发展新质生产力的实施方案》（鲁政办字〔2024〕156 号）</w:t>
      </w:r>
    </w:p>
    <w:p w14:paraId="2715EC1F">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《山东省人工智能产业科技创新行动计划（2025—2027 年）》</w:t>
      </w:r>
    </w:p>
    <w:p w14:paraId="3BB4D032">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《山东省“晨星工厂”建设指引（1.0）》《山东省“产业大脑”建设指引（1.0）》</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鲁数经办〔2024〕4 号</w:t>
      </w:r>
      <w:r>
        <w:rPr>
          <w:rFonts w:hint="eastAsia" w:ascii="仿宋_GB2312" w:hAnsi="仿宋" w:eastAsia="仿宋_GB2312" w:cs="Times New Roman"/>
          <w:sz w:val="32"/>
          <w:szCs w:val="32"/>
          <w:lang w:eastAsia="zh-CN"/>
          <w14:ligatures w14:val="none"/>
        </w:rPr>
        <w:t>）</w:t>
      </w:r>
    </w:p>
    <w:p w14:paraId="00454898">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《关于加快人工智能赋能重点领域高质量发展的推进方案》（鲁政办字〔2025〕48 号）</w:t>
      </w:r>
    </w:p>
    <w:p w14:paraId="72BDEB82">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《关于支持人工智能全产业链创新发展的若干政策措施》（鲁政办字〔2025〕49 号）青州市人民政府</w:t>
      </w:r>
    </w:p>
    <w:p w14:paraId="13585029">
      <w:pPr>
        <w:keepNext w:val="0"/>
        <w:keepLines w:val="0"/>
        <w:pageBreakBefore w:val="0"/>
        <w:numPr>
          <w:ilvl w:val="0"/>
          <w:numId w:val="3"/>
        </w:numPr>
        <w:kinsoku/>
        <w:wordWrap/>
        <w:overflowPunct/>
        <w:topLinePunct w:val="0"/>
        <w:bidi w:val="0"/>
        <w:adjustRightInd/>
        <w:snapToGrid/>
        <w:spacing w:line="594" w:lineRule="exact"/>
        <w:ind w:left="0" w:leftChars="0"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《山东省 “人工智能 + 制造” 行动方案（2026—2028 年）》（鲁工信数据〔2026〕60 号）</w:t>
      </w:r>
    </w:p>
    <w:p w14:paraId="47A47E15">
      <w:pPr>
        <w:keepNext w:val="0"/>
        <w:keepLines w:val="0"/>
        <w:pageBreakBefore w:val="0"/>
        <w:kinsoku/>
        <w:wordWrap/>
        <w:overflowPunct/>
        <w:topLinePunct w:val="0"/>
        <w:bidi w:val="0"/>
        <w:adjustRightInd/>
        <w:snapToGrid/>
        <w:spacing w:line="594" w:lineRule="exact"/>
        <w:ind w:firstLine="632" w:firstLineChars="200"/>
        <w:textAlignment w:val="auto"/>
        <w:rPr>
          <w:rFonts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截至目前，尚未发现本标准与国家有关的现行法律、法规和相关强制性标准相冲突。</w:t>
      </w:r>
    </w:p>
    <w:p w14:paraId="4AC6C0F5">
      <w:pPr>
        <w:keepNext w:val="0"/>
        <w:keepLines w:val="0"/>
        <w:pageBreakBefore w:val="0"/>
        <w:widowControl/>
        <w:kinsoku/>
        <w:wordWrap/>
        <w:overflowPunct/>
        <w:topLinePunct w:val="0"/>
        <w:autoSpaceDE w:val="0"/>
        <w:autoSpaceDN w:val="0"/>
        <w:bidi w:val="0"/>
        <w:adjustRightInd/>
        <w:snapToGrid/>
        <w:spacing w:line="594" w:lineRule="exact"/>
        <w:ind w:firstLine="632" w:firstLineChars="200"/>
        <w:textAlignment w:val="auto"/>
        <w:rPr>
          <w:rFonts w:ascii="黑体" w:hAnsi="黑体" w:eastAsia="黑体" w:cs="宋体"/>
          <w:kern w:val="0"/>
          <w:sz w:val="32"/>
          <w:szCs w:val="32"/>
          <w14:ligatures w14:val="none"/>
        </w:rPr>
      </w:pPr>
      <w:r>
        <w:rPr>
          <w:rFonts w:hint="eastAsia" w:ascii="黑体" w:hAnsi="黑体" w:eastAsia="黑体" w:cs="宋体"/>
          <w:kern w:val="0"/>
          <w:sz w:val="32"/>
          <w:szCs w:val="32"/>
          <w14:ligatures w14:val="none"/>
        </w:rPr>
        <w:t>六、重大分歧意见的处理过程、处理意见及其依据</w:t>
      </w:r>
    </w:p>
    <w:p w14:paraId="29A90639">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无。</w:t>
      </w:r>
    </w:p>
    <w:p w14:paraId="213B1D70">
      <w:pPr>
        <w:keepNext w:val="0"/>
        <w:keepLines w:val="0"/>
        <w:pageBreakBefore w:val="0"/>
        <w:kinsoku/>
        <w:wordWrap/>
        <w:overflowPunct/>
        <w:topLinePunct w:val="0"/>
        <w:autoSpaceDE/>
        <w:autoSpaceDN/>
        <w:bidi w:val="0"/>
        <w:adjustRightInd/>
        <w:snapToGrid w:val="0"/>
        <w:spacing w:line="570" w:lineRule="exact"/>
        <w:ind w:firstLine="632" w:firstLineChars="200"/>
        <w:textAlignment w:val="auto"/>
        <w:outlineLvl w:val="1"/>
        <w:rPr>
          <w:rFonts w:hint="eastAsia" w:ascii="黑体" w:hAnsi="黑体" w:eastAsia="黑体" w:cs="黑体"/>
          <w:color w:val="auto"/>
          <w:kern w:val="0"/>
          <w:sz w:val="32"/>
          <w:szCs w:val="32"/>
        </w:rPr>
      </w:pPr>
      <w:r>
        <w:rPr>
          <w:rFonts w:hint="eastAsia" w:ascii="黑体" w:hAnsi="黑体" w:eastAsia="黑体" w:cs="黑体"/>
          <w:color w:val="auto"/>
          <w:kern w:val="0"/>
          <w:sz w:val="32"/>
          <w:szCs w:val="32"/>
          <w:lang w:val="en-US" w:eastAsia="zh-CN"/>
        </w:rPr>
        <w:t>七、</w:t>
      </w:r>
      <w:r>
        <w:rPr>
          <w:rFonts w:hint="eastAsia" w:ascii="黑体" w:hAnsi="黑体" w:eastAsia="黑体" w:cs="黑体"/>
          <w:color w:val="auto"/>
          <w:kern w:val="0"/>
          <w:sz w:val="32"/>
          <w:szCs w:val="32"/>
        </w:rPr>
        <w:t>公平竞争审查结论</w:t>
      </w:r>
    </w:p>
    <w:p w14:paraId="11091FEC">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经严格开展公平竞争审查，本文件相关条款未设置市场准入、产业发展、招商引资、招标投标、经营行为规范、资质标准等排除、限制市场竞争的内容，不存在违反公平竞争审查制度规定的情形，符合公平竞争相关要求。</w:t>
      </w:r>
    </w:p>
    <w:p w14:paraId="1AB7CAE2">
      <w:pPr>
        <w:keepNext w:val="0"/>
        <w:keepLines w:val="0"/>
        <w:pageBreakBefore w:val="0"/>
        <w:kinsoku/>
        <w:wordWrap/>
        <w:overflowPunct/>
        <w:topLinePunct w:val="0"/>
        <w:autoSpaceDE/>
        <w:autoSpaceDN/>
        <w:bidi w:val="0"/>
        <w:adjustRightInd/>
        <w:snapToGrid w:val="0"/>
        <w:spacing w:line="570" w:lineRule="exact"/>
        <w:ind w:firstLine="632" w:firstLineChars="200"/>
        <w:textAlignment w:val="auto"/>
        <w:outlineLvl w:val="1"/>
        <w:rPr>
          <w:rFonts w:ascii="黑体" w:hAnsi="黑体" w:eastAsia="黑体" w:cs="宋体"/>
          <w:kern w:val="0"/>
          <w:sz w:val="32"/>
          <w:szCs w:val="32"/>
          <w14:ligatures w14:val="none"/>
        </w:rPr>
      </w:pPr>
      <w:r>
        <w:rPr>
          <w:rFonts w:hint="eastAsia" w:ascii="黑体" w:hAnsi="黑体" w:eastAsia="黑体" w:cs="黑体"/>
          <w:color w:val="auto"/>
          <w:kern w:val="0"/>
          <w:sz w:val="32"/>
          <w:szCs w:val="32"/>
          <w:lang w:val="en-US" w:eastAsia="zh-CN"/>
        </w:rPr>
        <w:t>八、</w:t>
      </w:r>
      <w:r>
        <w:rPr>
          <w:rFonts w:hint="eastAsia" w:ascii="黑体" w:hAnsi="黑体" w:eastAsia="黑体" w:cs="黑体"/>
          <w:color w:val="auto"/>
          <w:kern w:val="0"/>
          <w:sz w:val="32"/>
          <w:szCs w:val="32"/>
          <w:highlight w:val="none"/>
          <w:lang w:val="en-US" w:eastAsia="zh-CN"/>
        </w:rPr>
        <w:t>实施地方标准的要求，以及组织措施、技术措施、过渡期和实施日期的建议等措施建议</w:t>
      </w:r>
    </w:p>
    <w:p w14:paraId="41D7482C">
      <w:pPr>
        <w:keepNext w:val="0"/>
        <w:keepLines w:val="0"/>
        <w:pageBreakBefore w:val="0"/>
        <w:widowControl/>
        <w:kinsoku/>
        <w:wordWrap/>
        <w:overflowPunct/>
        <w:topLinePunct w:val="0"/>
        <w:autoSpaceDE w:val="0"/>
        <w:autoSpaceDN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本标准为推荐性地方标准，建议过渡期为3个月，过渡期间开展标准的宣贯培训工作。根据本标准适用范围，将主要面向</w:t>
      </w:r>
      <w:r>
        <w:rPr>
          <w:rFonts w:hint="eastAsia" w:ascii="仿宋_GB2312" w:hAnsi="仿宋" w:eastAsia="仿宋_GB2312" w:cs="Times New Roman"/>
          <w:sz w:val="32"/>
          <w:szCs w:val="32"/>
          <w:lang w:val="en-US" w:eastAsia="zh-CN"/>
          <w14:ligatures w14:val="none"/>
        </w:rPr>
        <w:t>全省晨星工厂建设单位</w:t>
      </w:r>
      <w:r>
        <w:rPr>
          <w:rFonts w:hint="eastAsia" w:ascii="仿宋_GB2312" w:hAnsi="仿宋" w:eastAsia="仿宋_GB2312" w:cs="Times New Roman"/>
          <w:sz w:val="32"/>
          <w:szCs w:val="32"/>
          <w14:ligatures w14:val="none"/>
        </w:rPr>
        <w:t>，积极推进标准的实施应用。</w:t>
      </w:r>
    </w:p>
    <w:p w14:paraId="30F80B43">
      <w:pPr>
        <w:numPr>
          <w:ilvl w:val="0"/>
          <w:numId w:val="0"/>
        </w:numPr>
        <w:spacing w:line="570" w:lineRule="exact"/>
        <w:ind w:firstLine="632" w:firstLineChars="200"/>
        <w:rPr>
          <w:rFonts w:hint="eastAsia" w:ascii="黑体" w:hAnsi="黑体" w:eastAsia="黑体" w:cs="黑体"/>
          <w:b w:val="0"/>
          <w:bCs w:val="0"/>
          <w:i w:val="0"/>
          <w:iCs w:val="0"/>
          <w:caps w:val="0"/>
          <w:color w:val="000000"/>
          <w:spacing w:val="0"/>
          <w:kern w:val="0"/>
          <w:sz w:val="32"/>
          <w:szCs w:val="32"/>
          <w:lang w:val="en-US" w:eastAsia="zh-CN" w:bidi="ar"/>
        </w:rPr>
      </w:pPr>
      <w:r>
        <w:rPr>
          <w:rFonts w:hint="eastAsia" w:ascii="黑体" w:hAnsi="黑体" w:eastAsia="黑体" w:cs="黑体"/>
          <w:color w:val="auto"/>
          <w:kern w:val="0"/>
          <w:sz w:val="32"/>
          <w:szCs w:val="32"/>
        </w:rPr>
        <w:t>九</w:t>
      </w:r>
      <w:r>
        <w:rPr>
          <w:rFonts w:hint="eastAsia" w:ascii="黑体" w:hAnsi="黑体" w:eastAsia="黑体" w:cs="黑体"/>
          <w:color w:val="auto"/>
          <w:kern w:val="0"/>
          <w:sz w:val="32"/>
          <w:szCs w:val="32"/>
          <w:lang w:eastAsia="zh-CN"/>
        </w:rPr>
        <w:t>、</w:t>
      </w:r>
      <w:r>
        <w:rPr>
          <w:rFonts w:hint="eastAsia" w:ascii="黑体" w:hAnsi="黑体" w:eastAsia="黑体" w:cs="黑体"/>
          <w:b w:val="0"/>
          <w:bCs w:val="0"/>
          <w:i w:val="0"/>
          <w:iCs w:val="0"/>
          <w:caps w:val="0"/>
          <w:color w:val="000000"/>
          <w:spacing w:val="0"/>
          <w:kern w:val="0"/>
          <w:sz w:val="32"/>
          <w:szCs w:val="32"/>
          <w:lang w:val="en-US" w:eastAsia="zh-CN" w:bidi="ar"/>
        </w:rPr>
        <w:t>涉及专利的有关说明</w:t>
      </w:r>
    </w:p>
    <w:p w14:paraId="1E2000A8">
      <w:pPr>
        <w:keepNext w:val="0"/>
        <w:keepLines w:val="0"/>
        <w:pageBreakBefore w:val="0"/>
        <w:widowControl/>
        <w:kinsoku/>
        <w:wordWrap/>
        <w:overflowPunct/>
        <w:topLinePunct w:val="0"/>
        <w:autoSpaceDE w:val="0"/>
        <w:autoSpaceDN w:val="0"/>
        <w:bidi w:val="0"/>
        <w:adjustRightInd/>
        <w:snapToGrid/>
        <w:spacing w:line="600" w:lineRule="exact"/>
        <w:ind w:firstLine="632" w:firstLineChars="200"/>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无。</w:t>
      </w:r>
    </w:p>
    <w:p w14:paraId="21D00152">
      <w:pPr>
        <w:pStyle w:val="2"/>
        <w:keepNext w:val="0"/>
        <w:keepLines w:val="0"/>
        <w:pageBreakBefore w:val="0"/>
        <w:kinsoku/>
        <w:wordWrap/>
        <w:overflowPunct/>
        <w:topLinePunct w:val="0"/>
        <w:bidi w:val="0"/>
        <w:adjustRightInd/>
        <w:snapToGrid/>
        <w:spacing w:line="600" w:lineRule="exact"/>
        <w:ind w:firstLine="632" w:firstLineChars="200"/>
        <w:textAlignment w:val="auto"/>
        <w:rPr>
          <w:rFonts w:hint="eastAsia" w:ascii="仿宋_GB2312" w:hAnsi="仿宋" w:eastAsia="仿宋_GB2312" w:cs="Times New Roman"/>
          <w:sz w:val="32"/>
          <w:szCs w:val="32"/>
          <w14:ligatures w14:val="none"/>
        </w:rPr>
      </w:pPr>
      <w:r>
        <w:rPr>
          <w:rFonts w:hint="eastAsia" w:ascii="黑体" w:hAnsi="黑体" w:eastAsia="黑体" w:cs="黑体"/>
          <w:color w:val="auto"/>
          <w:kern w:val="0"/>
          <w:sz w:val="32"/>
          <w:szCs w:val="32"/>
          <w:lang w:val="en-US" w:eastAsia="zh-CN"/>
        </w:rPr>
        <w:t>十、</w:t>
      </w:r>
      <w:r>
        <w:rPr>
          <w:rFonts w:hint="eastAsia" w:ascii="黑体" w:hAnsi="黑体" w:eastAsia="黑体" w:cs="黑体"/>
          <w:color w:val="auto"/>
          <w:kern w:val="0"/>
          <w:sz w:val="32"/>
          <w:szCs w:val="32"/>
        </w:rPr>
        <w:t>其他需要说明的内容</w:t>
      </w:r>
    </w:p>
    <w:p w14:paraId="4355E366">
      <w:pPr>
        <w:keepNext w:val="0"/>
        <w:keepLines w:val="0"/>
        <w:pageBreakBefore w:val="0"/>
        <w:kinsoku/>
        <w:wordWrap/>
        <w:overflowPunct/>
        <w:topLinePunct w:val="0"/>
        <w:bidi w:val="0"/>
        <w:adjustRightInd/>
        <w:snapToGrid/>
        <w:spacing w:line="600" w:lineRule="exact"/>
        <w:ind w:firstLine="632" w:firstLineChars="200"/>
        <w:textAlignment w:val="auto"/>
        <w:rPr>
          <w:rFonts w:hint="eastAsia" w:ascii="仿宋_GB2312" w:hAnsi="仿宋" w:eastAsia="仿宋_GB2312" w:cs="Times New Roman"/>
          <w:sz w:val="32"/>
          <w:szCs w:val="32"/>
          <w14:ligatures w14:val="none"/>
        </w:rPr>
      </w:pPr>
      <w:r>
        <w:rPr>
          <w:rFonts w:hint="eastAsia" w:ascii="仿宋_GB2312" w:hAnsi="仿宋" w:eastAsia="仿宋_GB2312" w:cs="Times New Roman"/>
          <w:sz w:val="32"/>
          <w:szCs w:val="32"/>
          <w14:ligatures w14:val="none"/>
        </w:rPr>
        <w:t>原标准名称《晨星工厂数智化应用指南》仅聚焦数字化智能化场景应用环节，无法覆盖标准包含的顶层规划、设施改造、绿色安全、分级评价、长效运维等晨星工厂全生命周期建设内容，且与省级官方政策统一表述不一致；为贴合</w:t>
      </w:r>
      <w:r>
        <w:rPr>
          <w:rFonts w:hint="eastAsia" w:ascii="仿宋_GB2312" w:hAnsi="仿宋" w:eastAsia="仿宋_GB2312" w:cs="Times New Roman"/>
          <w:sz w:val="32"/>
          <w:szCs w:val="32"/>
          <w:lang w:val="en-US" w:eastAsia="zh-CN"/>
          <w14:ligatures w14:val="none"/>
        </w:rPr>
        <w:t>晨星</w:t>
      </w:r>
      <w:r>
        <w:rPr>
          <w:rFonts w:hint="eastAsia" w:ascii="仿宋_GB2312" w:hAnsi="仿宋" w:eastAsia="仿宋_GB2312" w:cs="Times New Roman"/>
          <w:sz w:val="32"/>
          <w:szCs w:val="32"/>
          <w14:ligatures w14:val="none"/>
        </w:rPr>
        <w:t>工厂系统性综合建设内涵、统一政策口径</w:t>
      </w:r>
      <w:r>
        <w:rPr>
          <w:rFonts w:hint="eastAsia" w:ascii="仿宋_GB2312" w:hAnsi="仿宋" w:eastAsia="仿宋_GB2312" w:cs="Times New Roman"/>
          <w:sz w:val="32"/>
          <w:szCs w:val="32"/>
          <w:lang w:eastAsia="zh-CN"/>
          <w14:ligatures w14:val="none"/>
        </w:rPr>
        <w:t>，</w:t>
      </w:r>
      <w:r>
        <w:rPr>
          <w:rFonts w:hint="eastAsia" w:ascii="仿宋_GB2312" w:hAnsi="仿宋" w:eastAsia="仿宋_GB2312" w:cs="Times New Roman"/>
          <w:sz w:val="32"/>
          <w:szCs w:val="32"/>
          <w14:ligatures w14:val="none"/>
        </w:rPr>
        <w:t>提升标准通用性，现更名为《晨星工厂建设指南》。</w:t>
      </w:r>
    </w:p>
    <w:p w14:paraId="31670DDE">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p>
    <w:p w14:paraId="1CF4EED3">
      <w:pPr>
        <w:keepNext w:val="0"/>
        <w:keepLines w:val="0"/>
        <w:pageBreakBefore w:val="0"/>
        <w:kinsoku/>
        <w:wordWrap/>
        <w:overflowPunct/>
        <w:topLinePunct w:val="0"/>
        <w:bidi w:val="0"/>
        <w:adjustRightInd/>
        <w:snapToGrid/>
        <w:spacing w:line="594" w:lineRule="exact"/>
        <w:ind w:firstLine="632" w:firstLineChars="200"/>
        <w:textAlignment w:val="auto"/>
        <w:rPr>
          <w:rFonts w:hint="eastAsia" w:ascii="仿宋_GB2312" w:hAnsi="仿宋" w:eastAsia="仿宋_GB2312" w:cs="Times New Roman"/>
          <w:sz w:val="32"/>
          <w:szCs w:val="32"/>
          <w14:ligatures w14:val="none"/>
        </w:rPr>
      </w:pPr>
      <w:bookmarkStart w:id="2" w:name="_GoBack"/>
      <w:bookmarkEnd w:id="2"/>
    </w:p>
    <w:p w14:paraId="69B7A0A6">
      <w:pPr>
        <w:keepNext w:val="0"/>
        <w:keepLines w:val="0"/>
        <w:pageBreakBefore w:val="0"/>
        <w:kinsoku/>
        <w:wordWrap/>
        <w:overflowPunct/>
        <w:topLinePunct w:val="0"/>
        <w:bidi w:val="0"/>
        <w:adjustRightInd/>
        <w:snapToGrid/>
        <w:spacing w:line="594" w:lineRule="exact"/>
        <w:ind w:firstLine="632" w:firstLineChars="200"/>
        <w:jc w:val="right"/>
        <w:textAlignment w:val="auto"/>
        <w:rPr>
          <w:rFonts w:hint="eastAsia"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山东省数字经济标准化技术委员会</w:t>
      </w:r>
    </w:p>
    <w:p w14:paraId="35AF7F73">
      <w:pPr>
        <w:keepNext w:val="0"/>
        <w:keepLines w:val="0"/>
        <w:pageBreakBefore w:val="0"/>
        <w:kinsoku/>
        <w:wordWrap/>
        <w:overflowPunct/>
        <w:topLinePunct w:val="0"/>
        <w:bidi w:val="0"/>
        <w:adjustRightInd/>
        <w:snapToGrid/>
        <w:spacing w:line="594" w:lineRule="exact"/>
        <w:ind w:firstLine="632" w:firstLineChars="200"/>
        <w:jc w:val="right"/>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山东省人工智能标准化技术委员会</w:t>
      </w:r>
    </w:p>
    <w:p w14:paraId="310A3085">
      <w:pPr>
        <w:keepNext w:val="0"/>
        <w:keepLines w:val="0"/>
        <w:pageBreakBefore w:val="0"/>
        <w:kinsoku/>
        <w:wordWrap w:val="0"/>
        <w:overflowPunct/>
        <w:topLinePunct w:val="0"/>
        <w:bidi w:val="0"/>
        <w:adjustRightInd/>
        <w:snapToGrid/>
        <w:spacing w:line="594" w:lineRule="exact"/>
        <w:ind w:firstLine="632" w:firstLineChars="200"/>
        <w:jc w:val="center"/>
        <w:textAlignment w:val="auto"/>
        <w:rPr>
          <w:rFonts w:hint="default" w:ascii="仿宋_GB2312" w:hAnsi="仿宋" w:eastAsia="仿宋_GB2312" w:cs="Times New Roman"/>
          <w:sz w:val="32"/>
          <w:szCs w:val="32"/>
          <w:lang w:val="en-US" w:eastAsia="zh-CN"/>
          <w14:ligatures w14:val="none"/>
        </w:rPr>
      </w:pPr>
      <w:r>
        <w:rPr>
          <w:rFonts w:hint="eastAsia" w:ascii="仿宋_GB2312" w:hAnsi="仿宋" w:eastAsia="仿宋_GB2312" w:cs="Times New Roman"/>
          <w:sz w:val="32"/>
          <w:szCs w:val="32"/>
          <w:lang w:val="en-US" w:eastAsia="zh-CN"/>
          <w14:ligatures w14:val="none"/>
        </w:rPr>
        <w:t xml:space="preserve">                    2026年6月18日</w:t>
      </w:r>
    </w:p>
    <w:sectPr>
      <w:footerReference r:id="rId3" w:type="default"/>
      <w:footerReference r:id="rId4" w:type="even"/>
      <w:pgSz w:w="11906" w:h="16838"/>
      <w:pgMar w:top="1899" w:right="1531" w:bottom="1871" w:left="1531" w:header="851" w:footer="1361" w:gutter="113"/>
      <w:pgNumType w:fmt="decimal"/>
      <w:cols w:space="0" w:num="1"/>
      <w:rtlGutter w:val="0"/>
      <w:docGrid w:type="linesAndChars" w:linePitch="57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40D52">
    <w:pPr>
      <w:pStyle w:val="6"/>
      <w:ind w:right="210" w:rightChars="100"/>
      <w:rPr>
        <w:rFonts w:ascii="宋体" w:hAnsi="宋体" w:eastAsia="宋体"/>
        <w:sz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DE1036">
                          <w:pPr>
                            <w:pStyle w:val="6"/>
                            <w:ind w:left="0" w:leftChars="0" w:right="328" w:rightChars="156" w:firstLine="198" w:firstLineChars="7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EDE1036">
                    <w:pPr>
                      <w:pStyle w:val="6"/>
                      <w:ind w:left="0" w:leftChars="0" w:right="328" w:rightChars="156" w:firstLine="198" w:firstLineChars="7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51F3B">
    <w:pPr>
      <w:pStyle w:val="6"/>
      <w:ind w:firstLine="280" w:firstLineChars="100"/>
      <w:rPr>
        <w:rFonts w:ascii="宋体" w:hAnsi="宋体" w:eastAsia="宋体"/>
        <w:sz w:val="28"/>
      </w:rPr>
    </w:pPr>
    <w:r>
      <w:rPr>
        <w:rFonts w:hint="eastAsia" w:ascii="宋体" w:hAnsi="宋体" w:eastAsia="宋体"/>
        <w:sz w:val="28"/>
      </w:rPr>
      <w:t>—</w:t>
    </w:r>
    <w:r>
      <w:rPr>
        <w:rFonts w:ascii="宋体" w:hAnsi="宋体" w:eastAsia="宋体"/>
        <w:sz w:val="28"/>
      </w:rPr>
      <w:t xml:space="preserve"> </w:t>
    </w:r>
    <w:r>
      <w:rPr>
        <w:rFonts w:ascii="宋体" w:hAnsi="宋体" w:eastAsia="宋体"/>
        <w:sz w:val="28"/>
      </w:rPr>
      <w:fldChar w:fldCharType="begin"/>
    </w:r>
    <w:r>
      <w:rPr>
        <w:rFonts w:ascii="宋体" w:hAnsi="宋体" w:eastAsia="宋体"/>
        <w:sz w:val="28"/>
      </w:rPr>
      <w:instrText xml:space="preserve"> PAGE \* Arabic \* MERGEFORMAT </w:instrText>
    </w:r>
    <w:r>
      <w:rPr>
        <w:rFonts w:ascii="宋体" w:hAnsi="宋体" w:eastAsia="宋体"/>
        <w:sz w:val="28"/>
      </w:rPr>
      <w:fldChar w:fldCharType="separate"/>
    </w:r>
    <w:r>
      <w:rPr>
        <w:rFonts w:ascii="宋体" w:hAnsi="宋体" w:eastAsia="宋体"/>
        <w:sz w:val="28"/>
      </w:rPr>
      <w:t>18</w:t>
    </w:r>
    <w:r>
      <w:rPr>
        <w:rFonts w:ascii="宋体" w:hAnsi="宋体" w:eastAsia="宋体"/>
        <w:sz w:val="28"/>
      </w:rPr>
      <w:fldChar w:fldCharType="end"/>
    </w:r>
    <w:r>
      <w:rPr>
        <w:rFonts w:ascii="宋体" w:hAnsi="宋体" w:eastAsia="宋体"/>
        <w:sz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E130D6"/>
    <w:multiLevelType w:val="singleLevel"/>
    <w:tmpl w:val="9CE130D6"/>
    <w:lvl w:ilvl="0" w:tentative="0">
      <w:start w:val="1"/>
      <w:numFmt w:val="decimal"/>
      <w:suff w:val="nothing"/>
      <w:lvlText w:val="（%1）"/>
      <w:lvlJc w:val="left"/>
    </w:lvl>
  </w:abstractNum>
  <w:abstractNum w:abstractNumId="1">
    <w:nsid w:val="17B07378"/>
    <w:multiLevelType w:val="multilevel"/>
    <w:tmpl w:val="17B07378"/>
    <w:lvl w:ilvl="0" w:tentative="0">
      <w:start w:val="1"/>
      <w:numFmt w:val="none"/>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14"/>
      <w:suff w:val="nothing"/>
      <w:lvlText w:val="%1%2.%3.%4　"/>
      <w:lvlJc w:val="left"/>
      <w:pPr>
        <w:ind w:left="0" w:firstLine="0"/>
      </w:pPr>
      <w:rPr>
        <w:rFonts w:hint="eastAsia" w:ascii="黑体" w:eastAsia="黑体"/>
        <w:b w:val="0"/>
        <w:i w:val="0"/>
        <w:sz w:val="21"/>
      </w:rPr>
    </w:lvl>
    <w:lvl w:ilvl="4" w:tentative="0">
      <w:start w:val="1"/>
      <w:numFmt w:val="decimal"/>
      <w:suff w:val="nothing"/>
      <w:lvlText w:val="%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2">
    <w:nsid w:val="44C50F90"/>
    <w:multiLevelType w:val="multilevel"/>
    <w:tmpl w:val="44C50F90"/>
    <w:lvl w:ilvl="0" w:tentative="0">
      <w:start w:val="1"/>
      <w:numFmt w:val="lowerLetter"/>
      <w:pStyle w:val="16"/>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MmUyODg4MDkyZDQ0OGRjNjJiNjM3NTk3YTQ3MWEifQ=="/>
  </w:docVars>
  <w:rsids>
    <w:rsidRoot w:val="00F146E9"/>
    <w:rsid w:val="00030E2E"/>
    <w:rsid w:val="000376D1"/>
    <w:rsid w:val="0006756E"/>
    <w:rsid w:val="00096C5E"/>
    <w:rsid w:val="000E5F86"/>
    <w:rsid w:val="001218F3"/>
    <w:rsid w:val="00122D71"/>
    <w:rsid w:val="00133FF0"/>
    <w:rsid w:val="00141D93"/>
    <w:rsid w:val="001637F3"/>
    <w:rsid w:val="00163931"/>
    <w:rsid w:val="00215F46"/>
    <w:rsid w:val="00220B00"/>
    <w:rsid w:val="00236A62"/>
    <w:rsid w:val="002401AD"/>
    <w:rsid w:val="00244EE3"/>
    <w:rsid w:val="00272839"/>
    <w:rsid w:val="00286E60"/>
    <w:rsid w:val="00300056"/>
    <w:rsid w:val="00326B6D"/>
    <w:rsid w:val="00332708"/>
    <w:rsid w:val="00347238"/>
    <w:rsid w:val="003761F8"/>
    <w:rsid w:val="003A0090"/>
    <w:rsid w:val="003A02FA"/>
    <w:rsid w:val="003A2545"/>
    <w:rsid w:val="003D3EAD"/>
    <w:rsid w:val="003F1EE6"/>
    <w:rsid w:val="003F7679"/>
    <w:rsid w:val="004A1B60"/>
    <w:rsid w:val="004E7783"/>
    <w:rsid w:val="005019B9"/>
    <w:rsid w:val="00512657"/>
    <w:rsid w:val="005712DB"/>
    <w:rsid w:val="00580071"/>
    <w:rsid w:val="006372B9"/>
    <w:rsid w:val="006553B4"/>
    <w:rsid w:val="006606BC"/>
    <w:rsid w:val="006902CA"/>
    <w:rsid w:val="006F3C47"/>
    <w:rsid w:val="00703FA5"/>
    <w:rsid w:val="00714B68"/>
    <w:rsid w:val="00725E70"/>
    <w:rsid w:val="00727543"/>
    <w:rsid w:val="007301F7"/>
    <w:rsid w:val="00774F95"/>
    <w:rsid w:val="0077720F"/>
    <w:rsid w:val="00787AB5"/>
    <w:rsid w:val="007C027A"/>
    <w:rsid w:val="0081524C"/>
    <w:rsid w:val="008809EC"/>
    <w:rsid w:val="008A4C19"/>
    <w:rsid w:val="008A572B"/>
    <w:rsid w:val="0096215B"/>
    <w:rsid w:val="0098128A"/>
    <w:rsid w:val="00A45534"/>
    <w:rsid w:val="00A600F1"/>
    <w:rsid w:val="00A732EA"/>
    <w:rsid w:val="00A8433D"/>
    <w:rsid w:val="00AA3B4D"/>
    <w:rsid w:val="00AB5895"/>
    <w:rsid w:val="00AC3931"/>
    <w:rsid w:val="00AD3961"/>
    <w:rsid w:val="00AE133A"/>
    <w:rsid w:val="00AF206B"/>
    <w:rsid w:val="00B138EB"/>
    <w:rsid w:val="00B65927"/>
    <w:rsid w:val="00CC0C98"/>
    <w:rsid w:val="00D019D0"/>
    <w:rsid w:val="00DA3E32"/>
    <w:rsid w:val="00DB3BE1"/>
    <w:rsid w:val="00DC6039"/>
    <w:rsid w:val="00E02187"/>
    <w:rsid w:val="00E06362"/>
    <w:rsid w:val="00E737EF"/>
    <w:rsid w:val="00E81339"/>
    <w:rsid w:val="00ED6BD1"/>
    <w:rsid w:val="00EE1429"/>
    <w:rsid w:val="00EE7706"/>
    <w:rsid w:val="00EF4D0A"/>
    <w:rsid w:val="00EF5485"/>
    <w:rsid w:val="00F146E9"/>
    <w:rsid w:val="00F41563"/>
    <w:rsid w:val="00F55D37"/>
    <w:rsid w:val="00F956A9"/>
    <w:rsid w:val="01AE0B41"/>
    <w:rsid w:val="0490144A"/>
    <w:rsid w:val="07921FEC"/>
    <w:rsid w:val="0D260D66"/>
    <w:rsid w:val="0E7D30B3"/>
    <w:rsid w:val="0F6849F5"/>
    <w:rsid w:val="161F7D65"/>
    <w:rsid w:val="1A9C31FF"/>
    <w:rsid w:val="1BD25A4D"/>
    <w:rsid w:val="1BEB5ADA"/>
    <w:rsid w:val="1EEE273F"/>
    <w:rsid w:val="239A1546"/>
    <w:rsid w:val="271433BD"/>
    <w:rsid w:val="2776062D"/>
    <w:rsid w:val="2DA85B47"/>
    <w:rsid w:val="2DF9308E"/>
    <w:rsid w:val="30852900"/>
    <w:rsid w:val="30F73386"/>
    <w:rsid w:val="3579427A"/>
    <w:rsid w:val="35B14B10"/>
    <w:rsid w:val="3A9C574C"/>
    <w:rsid w:val="404C645C"/>
    <w:rsid w:val="43244A6C"/>
    <w:rsid w:val="47C41097"/>
    <w:rsid w:val="47FD0D6F"/>
    <w:rsid w:val="48E2516B"/>
    <w:rsid w:val="4ABA5A7F"/>
    <w:rsid w:val="53CB1F80"/>
    <w:rsid w:val="554B72E0"/>
    <w:rsid w:val="57FD0F52"/>
    <w:rsid w:val="59F93C29"/>
    <w:rsid w:val="5A8239E4"/>
    <w:rsid w:val="63642D5D"/>
    <w:rsid w:val="64E331FE"/>
    <w:rsid w:val="665B137A"/>
    <w:rsid w:val="67344E01"/>
    <w:rsid w:val="6B821A55"/>
    <w:rsid w:val="6C58FE03"/>
    <w:rsid w:val="6E434143"/>
    <w:rsid w:val="6E5B298B"/>
    <w:rsid w:val="714B246D"/>
    <w:rsid w:val="717B20A4"/>
    <w:rsid w:val="71D018E7"/>
    <w:rsid w:val="7330127B"/>
    <w:rsid w:val="7A02664B"/>
    <w:rsid w:val="7FFF57AD"/>
    <w:rsid w:val="7FFF9177"/>
    <w:rsid w:val="BFFB149D"/>
    <w:rsid w:val="CEA36506"/>
    <w:rsid w:val="F8BC4E12"/>
    <w:rsid w:val="FF5E3FE0"/>
    <w:rsid w:val="FF7B0FD4"/>
    <w:rsid w:val="FF7EA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after="120" w:afterLines="0" w:afterAutospacing="0"/>
      <w:jc w:val="both"/>
    </w:pPr>
    <w:rPr>
      <w:rFonts w:ascii="Calibri" w:hAnsi="Calibri" w:eastAsia="仿宋_GB2312" w:cs="Times New Roman"/>
      <w:kern w:val="2"/>
      <w:sz w:val="32"/>
      <w:szCs w:val="32"/>
      <w:lang w:val="en-US" w:eastAsia="zh-CN" w:bidi="ar-SA"/>
    </w:rPr>
  </w:style>
  <w:style w:type="paragraph" w:styleId="3">
    <w:name w:val="Body Text First Indent 2"/>
    <w:basedOn w:val="4"/>
    <w:next w:val="1"/>
    <w:qFormat/>
    <w:uiPriority w:val="0"/>
  </w:style>
  <w:style w:type="paragraph" w:styleId="4">
    <w:name w:val="Body Text Indent"/>
    <w:basedOn w:val="1"/>
    <w:qFormat/>
    <w:uiPriority w:val="0"/>
    <w:pPr>
      <w:ind w:firstLine="420" w:firstLineChars="200"/>
    </w:pPr>
  </w:style>
  <w:style w:type="paragraph" w:styleId="5">
    <w:name w:val="Balloon Text"/>
    <w:basedOn w:val="1"/>
    <w:link w:val="12"/>
    <w:semiHidden/>
    <w:unhideWhenUsed/>
    <w:qFormat/>
    <w:uiPriority w:val="99"/>
    <w:rPr>
      <w:sz w:val="18"/>
      <w:szCs w:val="18"/>
    </w:rPr>
  </w:style>
  <w:style w:type="paragraph" w:styleId="6">
    <w:name w:val="footer"/>
    <w:basedOn w:val="1"/>
    <w:link w:val="11"/>
    <w:qFormat/>
    <w:uiPriority w:val="99"/>
    <w:pPr>
      <w:tabs>
        <w:tab w:val="center" w:pos="4153"/>
        <w:tab w:val="right" w:pos="8306"/>
      </w:tabs>
      <w:snapToGrid w:val="0"/>
      <w:jc w:val="left"/>
    </w:pPr>
    <w:rPr>
      <w:rFonts w:eastAsia="仿宋"/>
      <w:sz w:val="18"/>
      <w:szCs w:val="18"/>
      <w14:ligatures w14:val="none"/>
    </w:rPr>
  </w:style>
  <w:style w:type="paragraph" w:styleId="7">
    <w:name w:val="header"/>
    <w:basedOn w:val="1"/>
    <w:link w:val="10"/>
    <w:unhideWhenUsed/>
    <w:qFormat/>
    <w:uiPriority w:val="99"/>
    <w:pP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rFonts w:eastAsia="仿宋"/>
      <w:sz w:val="18"/>
      <w:szCs w:val="18"/>
      <w14:ligatures w14:val="none"/>
    </w:rPr>
  </w:style>
  <w:style w:type="character" w:customStyle="1" w:styleId="12">
    <w:name w:val="批注框文本 Char"/>
    <w:basedOn w:val="9"/>
    <w:link w:val="5"/>
    <w:semiHidden/>
    <w:qFormat/>
    <w:uiPriority w:val="99"/>
    <w:rPr>
      <w:kern w:val="2"/>
      <w:sz w:val="18"/>
      <w:szCs w:val="18"/>
      <w14:ligatures w14:val="standardContextual"/>
    </w:rPr>
  </w:style>
  <w:style w:type="paragraph" w:customStyle="1" w:styleId="13">
    <w:name w:val="标准文件_二级无标题"/>
    <w:basedOn w:val="14"/>
    <w:qFormat/>
    <w:uiPriority w:val="0"/>
    <w:pPr>
      <w:spacing w:before="0" w:beforeLines="0" w:after="0" w:afterLines="0"/>
      <w:jc w:val="both"/>
      <w:outlineLvl w:val="9"/>
    </w:pPr>
    <w:rPr>
      <w:rFonts w:ascii="宋体" w:hAnsi="宋体" w:eastAsia="宋体"/>
      <w:szCs w:val="20"/>
    </w:rPr>
  </w:style>
  <w:style w:type="paragraph" w:customStyle="1" w:styleId="14">
    <w:name w:val="标准文件_二级条标题"/>
    <w:next w:val="15"/>
    <w:qFormat/>
    <w:uiPriority w:val="0"/>
    <w:pPr>
      <w:numPr>
        <w:ilvl w:val="3"/>
        <w:numId w:val="1"/>
      </w:numPr>
      <w:spacing w:before="50" w:beforeLines="50" w:after="50" w:afterLines="50"/>
      <w:outlineLvl w:val="2"/>
    </w:pPr>
    <w:rPr>
      <w:rFonts w:ascii="黑体" w:hAnsi="黑体" w:eastAsia="黑体" w:cstheme="minorBidi"/>
      <w:kern w:val="2"/>
      <w:sz w:val="21"/>
      <w:szCs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标准文件_字母编号列项（一级）"/>
    <w:qFormat/>
    <w:uiPriority w:val="0"/>
    <w:pPr>
      <w:numPr>
        <w:ilvl w:val="0"/>
        <w:numId w:val="2"/>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14</Pages>
  <Words>5669</Words>
  <Characters>5869</Characters>
  <Lines>68</Lines>
  <Paragraphs>19</Paragraphs>
  <TotalTime>6</TotalTime>
  <ScaleCrop>false</ScaleCrop>
  <LinksUpToDate>false</LinksUpToDate>
  <CharactersWithSpaces>5907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2023-11-10T15:02:00Z</dcterms:created>
  <dc:creator>维平 李</dc:creator>
  <cp:lastModifiedBy>WPS_1701223783</cp:lastModifiedBy>
  <dcterms:modified xsi:type="dcterms:W3CDTF">2026-06-18T09:06:23Z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29A2FFE9F8224C0C9C1C2F851BEC9BF7_13</vt:lpwstr>
  </property>
  <property fmtid="{D5CDD505-2E9C-101B-9397-08002B2CF9AE}" pid="4" name="KSOTemplateDocerSaveRecord">
    <vt:lpwstr>eyJoZGlkIjoiYzY2NjJkMDdhYzg4Mzc4ZmQxMjA3ZWY4NjQzMDdhMjciLCJ1c2VySWQiOiIxNTYwNDIyNDYwIn0=</vt:lpwstr>
  </property>
</Properties>
</file>